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8050" w14:textId="0CC7685F" w:rsidR="007026BD" w:rsidRPr="00E6526B" w:rsidRDefault="007026BD" w:rsidP="007026BD">
      <w:pPr>
        <w:rPr>
          <w:sz w:val="24"/>
          <w:szCs w:val="24"/>
        </w:rPr>
      </w:pPr>
      <w:r w:rsidRPr="00E6526B">
        <w:rPr>
          <w:sz w:val="24"/>
          <w:szCs w:val="24"/>
        </w:rPr>
        <w:t>Date:</w:t>
      </w:r>
      <w:r w:rsidRPr="00E6526B">
        <w:rPr>
          <w:sz w:val="24"/>
          <w:szCs w:val="24"/>
        </w:rPr>
        <w:tab/>
      </w:r>
      <w:r w:rsidRPr="00E6526B">
        <w:rPr>
          <w:sz w:val="24"/>
          <w:szCs w:val="24"/>
        </w:rPr>
        <w:tab/>
      </w:r>
      <w:r w:rsidR="003C2464" w:rsidRPr="00E6526B">
        <w:rPr>
          <w:sz w:val="24"/>
          <w:szCs w:val="24"/>
        </w:rPr>
        <w:t xml:space="preserve">May </w:t>
      </w:r>
      <w:r w:rsidR="00E6526B" w:rsidRPr="00E6526B">
        <w:rPr>
          <w:sz w:val="24"/>
          <w:szCs w:val="24"/>
        </w:rPr>
        <w:t>10</w:t>
      </w:r>
      <w:r w:rsidR="003C2464" w:rsidRPr="00E6526B">
        <w:rPr>
          <w:sz w:val="24"/>
          <w:szCs w:val="24"/>
        </w:rPr>
        <w:t>, 2018</w:t>
      </w:r>
    </w:p>
    <w:p w14:paraId="17C0624B" w14:textId="77777777" w:rsidR="007026BD" w:rsidRPr="00E6526B" w:rsidRDefault="007026BD" w:rsidP="007026BD">
      <w:pPr>
        <w:rPr>
          <w:sz w:val="24"/>
          <w:szCs w:val="24"/>
        </w:rPr>
      </w:pPr>
      <w:r w:rsidRPr="00E6526B">
        <w:rPr>
          <w:sz w:val="24"/>
          <w:szCs w:val="24"/>
        </w:rPr>
        <w:t>To:</w:t>
      </w:r>
      <w:r w:rsidRPr="00E6526B">
        <w:rPr>
          <w:sz w:val="24"/>
          <w:szCs w:val="24"/>
        </w:rPr>
        <w:tab/>
      </w:r>
      <w:r w:rsidRPr="00E6526B">
        <w:rPr>
          <w:sz w:val="24"/>
          <w:szCs w:val="24"/>
        </w:rPr>
        <w:tab/>
      </w:r>
      <w:r w:rsidR="00F411DE" w:rsidRPr="00E6526B">
        <w:rPr>
          <w:sz w:val="24"/>
          <w:szCs w:val="24"/>
        </w:rPr>
        <w:t xml:space="preserve">Councilmember </w:t>
      </w:r>
      <w:r w:rsidR="006E3458" w:rsidRPr="00E6526B">
        <w:rPr>
          <w:sz w:val="24"/>
          <w:szCs w:val="24"/>
        </w:rPr>
        <w:t>Mosqueda</w:t>
      </w:r>
    </w:p>
    <w:p w14:paraId="4A8799EF" w14:textId="77777777" w:rsidR="007026BD" w:rsidRPr="00E6526B" w:rsidRDefault="006E3458" w:rsidP="007026BD">
      <w:pPr>
        <w:rPr>
          <w:sz w:val="24"/>
          <w:szCs w:val="24"/>
        </w:rPr>
      </w:pPr>
      <w:r w:rsidRPr="00E6526B">
        <w:rPr>
          <w:sz w:val="24"/>
          <w:szCs w:val="24"/>
        </w:rPr>
        <w:t>From:</w:t>
      </w:r>
      <w:r w:rsidRPr="00E6526B">
        <w:rPr>
          <w:sz w:val="24"/>
          <w:szCs w:val="24"/>
        </w:rPr>
        <w:tab/>
      </w:r>
      <w:r w:rsidRPr="00E6526B">
        <w:rPr>
          <w:sz w:val="24"/>
          <w:szCs w:val="24"/>
        </w:rPr>
        <w:tab/>
      </w:r>
      <w:r w:rsidR="00F411DE" w:rsidRPr="00E6526B">
        <w:rPr>
          <w:sz w:val="24"/>
          <w:szCs w:val="24"/>
        </w:rPr>
        <w:t xml:space="preserve">Michael </w:t>
      </w:r>
      <w:r w:rsidRPr="00E6526B">
        <w:rPr>
          <w:sz w:val="24"/>
          <w:szCs w:val="24"/>
        </w:rPr>
        <w:t>Maddux</w:t>
      </w:r>
    </w:p>
    <w:p w14:paraId="4F2932A0" w14:textId="7F652535" w:rsidR="007026BD" w:rsidRPr="00E6526B" w:rsidRDefault="007026BD" w:rsidP="00C063AB">
      <w:pPr>
        <w:ind w:left="1440" w:hanging="1440"/>
        <w:rPr>
          <w:sz w:val="24"/>
          <w:szCs w:val="24"/>
        </w:rPr>
      </w:pPr>
      <w:r w:rsidRPr="00E6526B">
        <w:rPr>
          <w:sz w:val="24"/>
          <w:szCs w:val="24"/>
        </w:rPr>
        <w:t>Subject:</w:t>
      </w:r>
      <w:r w:rsidRPr="00E6526B">
        <w:rPr>
          <w:sz w:val="24"/>
          <w:szCs w:val="24"/>
        </w:rPr>
        <w:tab/>
      </w:r>
      <w:r w:rsidR="006E3458" w:rsidRPr="00E6526B">
        <w:rPr>
          <w:sz w:val="24"/>
          <w:szCs w:val="24"/>
        </w:rPr>
        <w:t>Review of high-level data from the McKinsey</w:t>
      </w:r>
      <w:r w:rsidR="00A723A9" w:rsidRPr="00E6526B">
        <w:rPr>
          <w:sz w:val="24"/>
          <w:szCs w:val="24"/>
        </w:rPr>
        <w:t>/Chamber</w:t>
      </w:r>
      <w:r w:rsidR="006E3458" w:rsidRPr="00E6526B">
        <w:rPr>
          <w:sz w:val="24"/>
          <w:szCs w:val="24"/>
        </w:rPr>
        <w:t xml:space="preserve"> Report, and how that might translate into county-wide funding, the impacts on Seattle residents and businesses, and proportionality of share of cost.</w:t>
      </w:r>
      <w:r w:rsidR="00046677" w:rsidRPr="00E6526B">
        <w:rPr>
          <w:sz w:val="24"/>
          <w:szCs w:val="24"/>
        </w:rPr>
        <w:t xml:space="preserve"> </w:t>
      </w:r>
    </w:p>
    <w:p w14:paraId="66515CC2" w14:textId="15F28EC4" w:rsidR="00E6526B" w:rsidRPr="00E6526B" w:rsidRDefault="00E6526B" w:rsidP="00C063AB">
      <w:pPr>
        <w:ind w:left="1440" w:hanging="1440"/>
        <w:rPr>
          <w:i/>
          <w:sz w:val="24"/>
          <w:szCs w:val="24"/>
        </w:rPr>
      </w:pPr>
      <w:r w:rsidRPr="00E6526B">
        <w:rPr>
          <w:sz w:val="24"/>
          <w:szCs w:val="24"/>
        </w:rPr>
        <w:tab/>
      </w:r>
      <w:r w:rsidRPr="00E6526B">
        <w:rPr>
          <w:i/>
          <w:sz w:val="24"/>
          <w:szCs w:val="24"/>
        </w:rPr>
        <w:t>Updated 5/12/18</w:t>
      </w:r>
    </w:p>
    <w:p w14:paraId="7A8804EE" w14:textId="77777777" w:rsidR="007026BD" w:rsidRPr="00E6526B" w:rsidRDefault="007026BD" w:rsidP="007026BD">
      <w:pPr>
        <w:pBdr>
          <w:bottom w:val="single" w:sz="12" w:space="1" w:color="auto"/>
        </w:pBdr>
        <w:rPr>
          <w:sz w:val="24"/>
          <w:szCs w:val="24"/>
        </w:rPr>
      </w:pPr>
    </w:p>
    <w:p w14:paraId="4F321260" w14:textId="77777777" w:rsidR="007026BD" w:rsidRPr="00E6526B" w:rsidRDefault="007026BD" w:rsidP="007026BD">
      <w:pPr>
        <w:rPr>
          <w:sz w:val="24"/>
          <w:szCs w:val="24"/>
        </w:rPr>
      </w:pPr>
    </w:p>
    <w:p w14:paraId="4EF7C6B7" w14:textId="77777777" w:rsidR="006E3458" w:rsidRPr="00E6526B" w:rsidRDefault="006E3458" w:rsidP="006E3458">
      <w:pPr>
        <w:rPr>
          <w:sz w:val="24"/>
          <w:szCs w:val="24"/>
        </w:rPr>
      </w:pPr>
      <w:r w:rsidRPr="00E6526B">
        <w:rPr>
          <w:sz w:val="24"/>
          <w:szCs w:val="24"/>
        </w:rPr>
        <w:t>The Seattle Times recently reported on the McKinsey</w:t>
      </w:r>
      <w:r w:rsidR="00A723A9" w:rsidRPr="00E6526B">
        <w:rPr>
          <w:sz w:val="24"/>
          <w:szCs w:val="24"/>
        </w:rPr>
        <w:t>/Chamber</w:t>
      </w:r>
      <w:r w:rsidRPr="00E6526B">
        <w:rPr>
          <w:sz w:val="24"/>
          <w:szCs w:val="24"/>
        </w:rPr>
        <w:t xml:space="preserve"> report that was done for the Seattle Metropolitan Chamber of Commerce. In their reporting, it was shown that the concept of “efficiencies” in order to address homelessness is just not feasible, and that the number one barrier to transitioning people into permanent housing is a lack of permanently affordable housing in King County. This follows the reports done as part of the One Table group that attempted to identify solutions earlier this year, and to date has come up with no action plan for a regional approach. This is also in line with the </w:t>
      </w:r>
      <w:proofErr w:type="spellStart"/>
      <w:r w:rsidRPr="00E6526B">
        <w:rPr>
          <w:sz w:val="24"/>
          <w:szCs w:val="24"/>
        </w:rPr>
        <w:t>Poppe</w:t>
      </w:r>
      <w:proofErr w:type="spellEnd"/>
      <w:r w:rsidRPr="00E6526B">
        <w:rPr>
          <w:sz w:val="24"/>
          <w:szCs w:val="24"/>
        </w:rPr>
        <w:t xml:space="preserve"> Report, and gives further credence to the concept of Pathways Home as an ideal model to exit households from homelessness. </w:t>
      </w:r>
    </w:p>
    <w:p w14:paraId="128F2C28" w14:textId="77777777" w:rsidR="006E3458" w:rsidRPr="00E6526B" w:rsidRDefault="006E3458" w:rsidP="006E3458">
      <w:pPr>
        <w:rPr>
          <w:sz w:val="24"/>
          <w:szCs w:val="24"/>
        </w:rPr>
      </w:pPr>
    </w:p>
    <w:p w14:paraId="199DAD8F" w14:textId="77777777" w:rsidR="006E3458" w:rsidRPr="00E6526B" w:rsidRDefault="006E3458" w:rsidP="006E3458">
      <w:pPr>
        <w:rPr>
          <w:sz w:val="24"/>
          <w:szCs w:val="24"/>
        </w:rPr>
      </w:pPr>
      <w:r w:rsidRPr="00E6526B">
        <w:rPr>
          <w:sz w:val="24"/>
          <w:szCs w:val="24"/>
        </w:rPr>
        <w:t>The most significant component in the McKinsey</w:t>
      </w:r>
      <w:r w:rsidR="00A723A9" w:rsidRPr="00E6526B">
        <w:rPr>
          <w:sz w:val="24"/>
          <w:szCs w:val="24"/>
        </w:rPr>
        <w:t>/Chamber</w:t>
      </w:r>
      <w:r w:rsidRPr="00E6526B">
        <w:rPr>
          <w:sz w:val="24"/>
          <w:szCs w:val="24"/>
        </w:rPr>
        <w:t xml:space="preserve"> report was the notation that </w:t>
      </w:r>
      <w:proofErr w:type="gramStart"/>
      <w:r w:rsidRPr="00E6526B">
        <w:rPr>
          <w:sz w:val="24"/>
          <w:szCs w:val="24"/>
        </w:rPr>
        <w:t>in order to</w:t>
      </w:r>
      <w:proofErr w:type="gramEnd"/>
      <w:r w:rsidRPr="00E6526B">
        <w:rPr>
          <w:sz w:val="24"/>
          <w:szCs w:val="24"/>
        </w:rPr>
        <w:t xml:space="preserve"> make a meaningful impact on the cr</w:t>
      </w:r>
      <w:r w:rsidR="00A04FCD" w:rsidRPr="00E6526B">
        <w:rPr>
          <w:sz w:val="24"/>
          <w:szCs w:val="24"/>
        </w:rPr>
        <w:t xml:space="preserve">isis, the county would need to increase annual spending by </w:t>
      </w:r>
      <w:r w:rsidR="00A04FCD" w:rsidRPr="00E6526B">
        <w:rPr>
          <w:b/>
          <w:sz w:val="24"/>
          <w:szCs w:val="24"/>
        </w:rPr>
        <w:t>$164</w:t>
      </w:r>
      <w:r w:rsidR="00A04FCD" w:rsidRPr="00E6526B">
        <w:rPr>
          <w:sz w:val="24"/>
          <w:szCs w:val="24"/>
        </w:rPr>
        <w:t xml:space="preserve"> mm and </w:t>
      </w:r>
      <w:r w:rsidR="00A04FCD" w:rsidRPr="00E6526B">
        <w:rPr>
          <w:b/>
          <w:sz w:val="24"/>
          <w:szCs w:val="24"/>
        </w:rPr>
        <w:t>$215</w:t>
      </w:r>
      <w:r w:rsidR="00A04FCD" w:rsidRPr="00E6526B">
        <w:rPr>
          <w:sz w:val="24"/>
          <w:szCs w:val="24"/>
        </w:rPr>
        <w:t xml:space="preserve"> mm (roughly) per year, </w:t>
      </w:r>
      <w:r w:rsidR="00A04FCD" w:rsidRPr="00E6526B">
        <w:rPr>
          <w:b/>
          <w:sz w:val="24"/>
          <w:szCs w:val="24"/>
        </w:rPr>
        <w:t>and spend 85% of that on building housing</w:t>
      </w:r>
      <w:r w:rsidRPr="00E6526B">
        <w:rPr>
          <w:sz w:val="24"/>
          <w:szCs w:val="24"/>
        </w:rPr>
        <w:t xml:space="preserve">. There is nothing to suggest </w:t>
      </w:r>
      <w:r w:rsidRPr="00E6526B">
        <w:rPr>
          <w:i/>
          <w:sz w:val="24"/>
          <w:szCs w:val="24"/>
        </w:rPr>
        <w:t>how</w:t>
      </w:r>
      <w:r w:rsidRPr="00E6526B">
        <w:rPr>
          <w:sz w:val="24"/>
          <w:szCs w:val="24"/>
        </w:rPr>
        <w:t xml:space="preserve"> to do that, but given the limitations on revenue sources, along with the political realities of the county,</w:t>
      </w:r>
      <w:r w:rsidR="00A04FCD" w:rsidRPr="00E6526B">
        <w:rPr>
          <w:sz w:val="24"/>
          <w:szCs w:val="24"/>
        </w:rPr>
        <w:t xml:space="preserve"> we are likely looking at, effectively, a county-wide levy in this range as the main comparison option</w:t>
      </w:r>
      <w:r w:rsidRPr="00E6526B">
        <w:rPr>
          <w:sz w:val="24"/>
          <w:szCs w:val="24"/>
        </w:rPr>
        <w:t xml:space="preserve">. </w:t>
      </w:r>
    </w:p>
    <w:p w14:paraId="5118152C" w14:textId="77777777" w:rsidR="006E3458" w:rsidRPr="00E6526B" w:rsidRDefault="006E3458" w:rsidP="006E3458">
      <w:pPr>
        <w:rPr>
          <w:sz w:val="24"/>
          <w:szCs w:val="24"/>
        </w:rPr>
      </w:pPr>
    </w:p>
    <w:p w14:paraId="23F12B1A" w14:textId="77777777" w:rsidR="006E3458" w:rsidRPr="00E6526B" w:rsidRDefault="006E3458" w:rsidP="006E3458">
      <w:pPr>
        <w:rPr>
          <w:sz w:val="24"/>
          <w:szCs w:val="24"/>
        </w:rPr>
      </w:pPr>
      <w:r w:rsidRPr="00E6526B">
        <w:rPr>
          <w:sz w:val="24"/>
          <w:szCs w:val="24"/>
        </w:rPr>
        <w:t xml:space="preserve">With this information, I worked with Central Staff to run some quick numbers on what that might look like for Seattle households, the business share, and how that compares with the current EHT proposal on the revenue side. </w:t>
      </w:r>
    </w:p>
    <w:p w14:paraId="760F506B" w14:textId="77777777" w:rsidR="006E3458" w:rsidRPr="00E6526B" w:rsidRDefault="006E3458" w:rsidP="006E3458">
      <w:pPr>
        <w:rPr>
          <w:sz w:val="24"/>
          <w:szCs w:val="24"/>
        </w:rPr>
      </w:pPr>
    </w:p>
    <w:p w14:paraId="448D201E" w14:textId="77777777" w:rsidR="006E3458" w:rsidRPr="00E6526B" w:rsidRDefault="006E3458" w:rsidP="006E3458">
      <w:pPr>
        <w:pStyle w:val="ListParagraph"/>
        <w:numPr>
          <w:ilvl w:val="0"/>
          <w:numId w:val="15"/>
        </w:numPr>
        <w:rPr>
          <w:sz w:val="24"/>
          <w:szCs w:val="24"/>
        </w:rPr>
      </w:pPr>
      <w:r w:rsidRPr="00E6526B">
        <w:rPr>
          <w:b/>
          <w:sz w:val="24"/>
          <w:szCs w:val="24"/>
        </w:rPr>
        <w:t>Population</w:t>
      </w:r>
    </w:p>
    <w:p w14:paraId="7515F37D" w14:textId="77777777" w:rsidR="006E3458" w:rsidRPr="00E6526B" w:rsidRDefault="006E3458" w:rsidP="006E3458">
      <w:pPr>
        <w:rPr>
          <w:sz w:val="24"/>
          <w:szCs w:val="24"/>
        </w:rPr>
      </w:pPr>
    </w:p>
    <w:p w14:paraId="662B0562" w14:textId="77777777" w:rsidR="006E3458" w:rsidRPr="00E6526B" w:rsidRDefault="006E3458" w:rsidP="006E3458">
      <w:pPr>
        <w:rPr>
          <w:sz w:val="24"/>
          <w:szCs w:val="24"/>
        </w:rPr>
      </w:pPr>
      <w:r w:rsidRPr="00E6526B">
        <w:rPr>
          <w:sz w:val="24"/>
          <w:szCs w:val="24"/>
        </w:rPr>
        <w:t xml:space="preserve">King County has an estimated population of 2,188,649 persons, with 713,700 of those residing in Seattle. This means Seattle residents make up 32.6% of the overall county population. At the same time, Seattle is home to an estimated 75% of those experiencing homelessness in King County. </w:t>
      </w:r>
    </w:p>
    <w:p w14:paraId="1B7A6DED" w14:textId="77777777" w:rsidR="006E3458" w:rsidRPr="00E6526B" w:rsidRDefault="006E3458" w:rsidP="006E3458">
      <w:pPr>
        <w:rPr>
          <w:sz w:val="24"/>
          <w:szCs w:val="24"/>
        </w:rPr>
      </w:pPr>
    </w:p>
    <w:p w14:paraId="42D7D119" w14:textId="77777777" w:rsidR="006E3458" w:rsidRPr="00E6526B" w:rsidRDefault="006E3458" w:rsidP="006E3458">
      <w:pPr>
        <w:rPr>
          <w:sz w:val="24"/>
          <w:szCs w:val="24"/>
        </w:rPr>
      </w:pPr>
      <w:r w:rsidRPr="00E6526B">
        <w:rPr>
          <w:sz w:val="24"/>
          <w:szCs w:val="24"/>
        </w:rPr>
        <w:t xml:space="preserve">Looking at the </w:t>
      </w:r>
      <w:r w:rsidR="00A04FCD" w:rsidRPr="00E6526B">
        <w:rPr>
          <w:sz w:val="24"/>
          <w:szCs w:val="24"/>
        </w:rPr>
        <w:t>range</w:t>
      </w:r>
      <w:r w:rsidRPr="00E6526B">
        <w:rPr>
          <w:sz w:val="24"/>
          <w:szCs w:val="24"/>
        </w:rPr>
        <w:t>, and determining the “fair share” based on population, Seattle is essentially responsible for raising an additional $</w:t>
      </w:r>
      <w:r w:rsidR="00A04FCD" w:rsidRPr="00E6526B">
        <w:rPr>
          <w:sz w:val="24"/>
          <w:szCs w:val="24"/>
        </w:rPr>
        <w:t>53,464,000 to $70,090,000</w:t>
      </w:r>
      <w:r w:rsidRPr="00E6526B">
        <w:rPr>
          <w:sz w:val="24"/>
          <w:szCs w:val="24"/>
        </w:rPr>
        <w:t xml:space="preserve"> per year to better meet the need as described in the McKinsey</w:t>
      </w:r>
      <w:r w:rsidR="00A04FCD" w:rsidRPr="00E6526B">
        <w:rPr>
          <w:sz w:val="24"/>
          <w:szCs w:val="24"/>
        </w:rPr>
        <w:t>/Chamber</w:t>
      </w:r>
      <w:r w:rsidRPr="00E6526B">
        <w:rPr>
          <w:sz w:val="24"/>
          <w:szCs w:val="24"/>
        </w:rPr>
        <w:t xml:space="preserve"> report. This does not take into account Seattle’s current funding of the Housing Levy at about $30 million per year – the only city in King County that has such a sustained program. </w:t>
      </w:r>
    </w:p>
    <w:p w14:paraId="6C7D882B" w14:textId="77777777" w:rsidR="006E3458" w:rsidRPr="00E6526B" w:rsidRDefault="006E3458" w:rsidP="006E3458">
      <w:pPr>
        <w:rPr>
          <w:sz w:val="24"/>
          <w:szCs w:val="24"/>
        </w:rPr>
      </w:pPr>
    </w:p>
    <w:p w14:paraId="26DDBC87" w14:textId="77777777" w:rsidR="006E3458" w:rsidRPr="00E6526B" w:rsidRDefault="006E3458" w:rsidP="006E3458">
      <w:pPr>
        <w:rPr>
          <w:sz w:val="24"/>
          <w:szCs w:val="24"/>
        </w:rPr>
      </w:pPr>
    </w:p>
    <w:p w14:paraId="239657E5" w14:textId="77777777" w:rsidR="006E3458" w:rsidRPr="00E6526B" w:rsidRDefault="006E3458" w:rsidP="006E3458">
      <w:pPr>
        <w:rPr>
          <w:sz w:val="24"/>
          <w:szCs w:val="24"/>
        </w:rPr>
      </w:pPr>
    </w:p>
    <w:p w14:paraId="59B69F4B" w14:textId="77777777" w:rsidR="006E3458" w:rsidRPr="00E6526B" w:rsidRDefault="006E3458" w:rsidP="006E3458">
      <w:pPr>
        <w:pStyle w:val="ListParagraph"/>
        <w:numPr>
          <w:ilvl w:val="0"/>
          <w:numId w:val="15"/>
        </w:numPr>
        <w:rPr>
          <w:sz w:val="24"/>
          <w:szCs w:val="24"/>
        </w:rPr>
      </w:pPr>
      <w:r w:rsidRPr="00E6526B">
        <w:rPr>
          <w:b/>
          <w:sz w:val="24"/>
          <w:szCs w:val="24"/>
        </w:rPr>
        <w:t>Assessed Value</w:t>
      </w:r>
    </w:p>
    <w:p w14:paraId="4E09D570" w14:textId="77777777" w:rsidR="006E3458" w:rsidRPr="00E6526B" w:rsidRDefault="006E3458" w:rsidP="006E3458">
      <w:pPr>
        <w:rPr>
          <w:sz w:val="24"/>
          <w:szCs w:val="24"/>
        </w:rPr>
      </w:pPr>
    </w:p>
    <w:p w14:paraId="6A4E17AE" w14:textId="77777777" w:rsidR="006E3458" w:rsidRPr="00E6526B" w:rsidRDefault="006E3458" w:rsidP="006E3458">
      <w:pPr>
        <w:rPr>
          <w:sz w:val="24"/>
          <w:szCs w:val="24"/>
        </w:rPr>
      </w:pPr>
      <w:r w:rsidRPr="00E6526B">
        <w:rPr>
          <w:sz w:val="24"/>
          <w:szCs w:val="24"/>
        </w:rPr>
        <w:t>Overall, King County has an assessed value of $514,186,373,203. Seattle’s assessed value is $208,104,881,908, representing 40.4% of the total assessed value of property in King County.</w:t>
      </w:r>
    </w:p>
    <w:p w14:paraId="50EF60ED" w14:textId="77777777" w:rsidR="006E3458" w:rsidRPr="00E6526B" w:rsidRDefault="006E3458" w:rsidP="006E3458">
      <w:pPr>
        <w:rPr>
          <w:sz w:val="24"/>
          <w:szCs w:val="24"/>
        </w:rPr>
      </w:pPr>
    </w:p>
    <w:p w14:paraId="0A664176" w14:textId="77777777" w:rsidR="006E3458" w:rsidRPr="00E6526B" w:rsidRDefault="006E3458" w:rsidP="006E3458">
      <w:pPr>
        <w:rPr>
          <w:sz w:val="24"/>
          <w:szCs w:val="24"/>
        </w:rPr>
      </w:pPr>
      <w:r w:rsidRPr="00E6526B">
        <w:rPr>
          <w:sz w:val="24"/>
          <w:szCs w:val="24"/>
        </w:rPr>
        <w:t xml:space="preserve">When looking at the </w:t>
      </w:r>
      <w:r w:rsidR="009B67B8" w:rsidRPr="00E6526B">
        <w:rPr>
          <w:sz w:val="24"/>
          <w:szCs w:val="24"/>
        </w:rPr>
        <w:t>$164</w:t>
      </w:r>
      <w:r w:rsidRPr="00E6526B">
        <w:rPr>
          <w:sz w:val="24"/>
          <w:szCs w:val="24"/>
        </w:rPr>
        <w:t xml:space="preserve"> million </w:t>
      </w:r>
      <w:r w:rsidR="009B67B8" w:rsidRPr="00E6526B">
        <w:rPr>
          <w:sz w:val="24"/>
          <w:szCs w:val="24"/>
        </w:rPr>
        <w:t>to $210 million range</w:t>
      </w:r>
      <w:r w:rsidRPr="00E6526B">
        <w:rPr>
          <w:sz w:val="24"/>
          <w:szCs w:val="24"/>
        </w:rPr>
        <w:t xml:space="preserve">, much like the Levy Swap, Seattle would be put in a position wherein we are further subsidizing other jurisdictions’ inadequate funding of homelessness and housing services, being on the hook for </w:t>
      </w:r>
      <w:r w:rsidR="009B67B8" w:rsidRPr="00E6526B">
        <w:rPr>
          <w:sz w:val="24"/>
          <w:szCs w:val="24"/>
        </w:rPr>
        <w:t>between $64,512,513.39 and $87,404,050.40</w:t>
      </w:r>
      <w:r w:rsidRPr="00E6526B">
        <w:rPr>
          <w:sz w:val="24"/>
          <w:szCs w:val="24"/>
        </w:rPr>
        <w:t xml:space="preserve"> per year. </w:t>
      </w:r>
    </w:p>
    <w:p w14:paraId="0FEA0BC9" w14:textId="77777777" w:rsidR="006E3458" w:rsidRPr="00E6526B" w:rsidRDefault="006E3458" w:rsidP="006E3458">
      <w:pPr>
        <w:rPr>
          <w:sz w:val="24"/>
          <w:szCs w:val="24"/>
        </w:rPr>
      </w:pPr>
    </w:p>
    <w:p w14:paraId="20D2CF2D" w14:textId="77777777" w:rsidR="006E3458" w:rsidRPr="00E6526B" w:rsidRDefault="006E3458" w:rsidP="006E3458">
      <w:pPr>
        <w:rPr>
          <w:sz w:val="24"/>
          <w:szCs w:val="24"/>
        </w:rPr>
      </w:pPr>
      <w:r w:rsidRPr="00E6526B">
        <w:rPr>
          <w:sz w:val="24"/>
          <w:szCs w:val="24"/>
        </w:rPr>
        <w:t>Based on some early figures, the actual levy rate for a county-wide levy to raise $205,000,000 per year, based on 2017 assessed values, would be about $0.</w:t>
      </w:r>
      <w:r w:rsidR="009B67B8" w:rsidRPr="00E6526B">
        <w:rPr>
          <w:sz w:val="24"/>
          <w:szCs w:val="24"/>
        </w:rPr>
        <w:t>31 to $0.42</w:t>
      </w:r>
      <w:r w:rsidRPr="00E6526B">
        <w:rPr>
          <w:sz w:val="24"/>
          <w:szCs w:val="24"/>
        </w:rPr>
        <w:t xml:space="preserve"> per $1,000 of assessed value.</w:t>
      </w:r>
    </w:p>
    <w:p w14:paraId="5262AAD1" w14:textId="77777777" w:rsidR="006E3458" w:rsidRPr="00E6526B" w:rsidRDefault="006E3458" w:rsidP="006E3458">
      <w:pPr>
        <w:rPr>
          <w:sz w:val="24"/>
          <w:szCs w:val="24"/>
        </w:rPr>
      </w:pPr>
    </w:p>
    <w:p w14:paraId="2E3FF9FB" w14:textId="77777777" w:rsidR="006E3458" w:rsidRPr="00E6526B" w:rsidRDefault="006E3458" w:rsidP="006E3458">
      <w:pPr>
        <w:rPr>
          <w:sz w:val="24"/>
          <w:szCs w:val="24"/>
        </w:rPr>
      </w:pPr>
      <w:r w:rsidRPr="00E6526B">
        <w:rPr>
          <w:sz w:val="24"/>
          <w:szCs w:val="24"/>
        </w:rPr>
        <w:t>In 2017, the median assessed home value in Seattle was $528,000. This would translate to an annual cost for such a levy of</w:t>
      </w:r>
      <w:r w:rsidR="009B67B8" w:rsidRPr="00E6526B">
        <w:rPr>
          <w:sz w:val="24"/>
          <w:szCs w:val="24"/>
        </w:rPr>
        <w:t xml:space="preserve"> between $161.51 and $221.76</w:t>
      </w:r>
      <w:r w:rsidRPr="00E6526B">
        <w:rPr>
          <w:sz w:val="24"/>
          <w:szCs w:val="24"/>
        </w:rPr>
        <w:t xml:space="preserve">. </w:t>
      </w:r>
    </w:p>
    <w:p w14:paraId="6765D4CB" w14:textId="77777777" w:rsidR="006E3458" w:rsidRPr="00E6526B" w:rsidRDefault="006E3458" w:rsidP="006E3458">
      <w:pPr>
        <w:rPr>
          <w:sz w:val="24"/>
          <w:szCs w:val="24"/>
        </w:rPr>
      </w:pPr>
    </w:p>
    <w:p w14:paraId="48A15BF1" w14:textId="77777777" w:rsidR="006E3458" w:rsidRPr="00E6526B" w:rsidRDefault="006E3458" w:rsidP="006E3458">
      <w:pPr>
        <w:rPr>
          <w:sz w:val="24"/>
          <w:szCs w:val="24"/>
        </w:rPr>
      </w:pPr>
      <w:r w:rsidRPr="00E6526B">
        <w:rPr>
          <w:sz w:val="24"/>
          <w:szCs w:val="24"/>
        </w:rPr>
        <w:t>The current median home value based on sales, however, is $819,500. This would mean the potential of a first-year rate collection (assuming such a levy passed) of $</w:t>
      </w:r>
      <w:r w:rsidR="009B67B8" w:rsidRPr="00E6526B">
        <w:rPr>
          <w:sz w:val="24"/>
          <w:szCs w:val="24"/>
        </w:rPr>
        <w:t>254.05 and $344.19</w:t>
      </w:r>
      <w:r w:rsidRPr="00E6526B">
        <w:rPr>
          <w:sz w:val="24"/>
          <w:szCs w:val="24"/>
        </w:rPr>
        <w:t xml:space="preserve"> per year. </w:t>
      </w:r>
    </w:p>
    <w:p w14:paraId="7151117A" w14:textId="77777777" w:rsidR="006E3458" w:rsidRPr="00E6526B" w:rsidRDefault="006E3458" w:rsidP="006E3458">
      <w:pPr>
        <w:rPr>
          <w:sz w:val="24"/>
          <w:szCs w:val="24"/>
        </w:rPr>
      </w:pPr>
    </w:p>
    <w:p w14:paraId="4E1868DC" w14:textId="77777777" w:rsidR="006E3458" w:rsidRPr="00E6526B" w:rsidRDefault="006E3458" w:rsidP="006E3458">
      <w:pPr>
        <w:pStyle w:val="ListParagraph"/>
        <w:numPr>
          <w:ilvl w:val="0"/>
          <w:numId w:val="15"/>
        </w:numPr>
        <w:rPr>
          <w:sz w:val="24"/>
          <w:szCs w:val="24"/>
        </w:rPr>
      </w:pPr>
      <w:r w:rsidRPr="00E6526B">
        <w:rPr>
          <w:b/>
          <w:sz w:val="24"/>
          <w:szCs w:val="24"/>
        </w:rPr>
        <w:t>Proportional Share</w:t>
      </w:r>
    </w:p>
    <w:p w14:paraId="197B9D5C" w14:textId="77777777" w:rsidR="006E3458" w:rsidRPr="00E6526B" w:rsidRDefault="006E3458" w:rsidP="006E3458">
      <w:pPr>
        <w:rPr>
          <w:sz w:val="24"/>
          <w:szCs w:val="24"/>
        </w:rPr>
      </w:pPr>
    </w:p>
    <w:p w14:paraId="3650994E" w14:textId="77777777" w:rsidR="006E3458" w:rsidRPr="00E6526B" w:rsidRDefault="006E3458" w:rsidP="006E3458">
      <w:pPr>
        <w:rPr>
          <w:sz w:val="24"/>
          <w:szCs w:val="24"/>
        </w:rPr>
      </w:pPr>
      <w:r w:rsidRPr="00E6526B">
        <w:rPr>
          <w:sz w:val="24"/>
          <w:szCs w:val="24"/>
        </w:rPr>
        <w:t xml:space="preserve">In Seattle, approximately 66% of property tax levy payments for general fund payments come from residential properties, with 34% from commercial properties. Because the senior rate essentially reduces or exempts this part, this share proportion is lower for residential than a levy would be (which is typically not subject to the low-income senior exemption). The exact difference is likely marginal, however. </w:t>
      </w:r>
    </w:p>
    <w:p w14:paraId="4D1618BB" w14:textId="77777777" w:rsidR="006E3458" w:rsidRPr="00E6526B" w:rsidRDefault="006E3458" w:rsidP="006E3458">
      <w:pPr>
        <w:rPr>
          <w:sz w:val="24"/>
          <w:szCs w:val="24"/>
        </w:rPr>
      </w:pPr>
    </w:p>
    <w:p w14:paraId="63BF9E24" w14:textId="77777777" w:rsidR="006E3458" w:rsidRPr="00E6526B" w:rsidRDefault="006E3458" w:rsidP="006E3458">
      <w:pPr>
        <w:rPr>
          <w:sz w:val="24"/>
          <w:szCs w:val="24"/>
        </w:rPr>
      </w:pPr>
      <w:r w:rsidRPr="00E6526B">
        <w:rPr>
          <w:sz w:val="24"/>
          <w:szCs w:val="24"/>
        </w:rPr>
        <w:t xml:space="preserve">In the event there was a county-wide property tax levy, the percent of the cost to all businesses </w:t>
      </w:r>
      <w:r w:rsidR="009B67B8" w:rsidRPr="00E6526B">
        <w:rPr>
          <w:sz w:val="24"/>
          <w:szCs w:val="24"/>
        </w:rPr>
        <w:t>would essentially be $21,934,254.55 to $29,717,377.14</w:t>
      </w:r>
      <w:r w:rsidRPr="00E6526B">
        <w:rPr>
          <w:sz w:val="24"/>
          <w:szCs w:val="24"/>
        </w:rPr>
        <w:t xml:space="preserve"> per year (34%), with residents paying $</w:t>
      </w:r>
      <w:r w:rsidR="009B67B8" w:rsidRPr="00E6526B">
        <w:rPr>
          <w:sz w:val="24"/>
          <w:szCs w:val="24"/>
        </w:rPr>
        <w:t>42,578,258.84 to $57,686,673.26</w:t>
      </w:r>
      <w:r w:rsidRPr="00E6526B">
        <w:rPr>
          <w:sz w:val="24"/>
          <w:szCs w:val="24"/>
        </w:rPr>
        <w:t xml:space="preserve"> per year (66%), maintaining the lopsided balance of revenue generated from this source. </w:t>
      </w:r>
    </w:p>
    <w:p w14:paraId="4922AD9C" w14:textId="77777777" w:rsidR="006E3458" w:rsidRPr="00E6526B" w:rsidRDefault="006E3458" w:rsidP="006E3458">
      <w:pPr>
        <w:rPr>
          <w:sz w:val="24"/>
          <w:szCs w:val="24"/>
        </w:rPr>
      </w:pPr>
    </w:p>
    <w:p w14:paraId="526B0E0A" w14:textId="77777777" w:rsidR="006E3458" w:rsidRPr="00E6526B" w:rsidRDefault="006E3458" w:rsidP="006E3458">
      <w:pPr>
        <w:pStyle w:val="ListParagraph"/>
        <w:numPr>
          <w:ilvl w:val="0"/>
          <w:numId w:val="15"/>
        </w:numPr>
        <w:rPr>
          <w:sz w:val="24"/>
          <w:szCs w:val="24"/>
        </w:rPr>
      </w:pPr>
      <w:r w:rsidRPr="00E6526B">
        <w:rPr>
          <w:b/>
          <w:sz w:val="24"/>
          <w:szCs w:val="24"/>
        </w:rPr>
        <w:t>Comparison to the EHT as Proposed</w:t>
      </w:r>
      <w:r w:rsidR="009B67B8" w:rsidRPr="00E6526B">
        <w:rPr>
          <w:b/>
          <w:sz w:val="24"/>
          <w:szCs w:val="24"/>
        </w:rPr>
        <w:t xml:space="preserve"> by CMs Herbold, O’Brien, Mosqueda, &amp; González</w:t>
      </w:r>
    </w:p>
    <w:p w14:paraId="700683B3" w14:textId="77777777" w:rsidR="006E3458" w:rsidRPr="00E6526B" w:rsidRDefault="006E3458" w:rsidP="006E3458">
      <w:pPr>
        <w:rPr>
          <w:sz w:val="24"/>
          <w:szCs w:val="24"/>
        </w:rPr>
      </w:pPr>
    </w:p>
    <w:p w14:paraId="44F763B6" w14:textId="77777777" w:rsidR="00752F31" w:rsidRPr="00E6526B" w:rsidRDefault="006E3458" w:rsidP="006E3458">
      <w:pPr>
        <w:rPr>
          <w:sz w:val="24"/>
          <w:szCs w:val="24"/>
        </w:rPr>
      </w:pPr>
      <w:r w:rsidRPr="00E6526B">
        <w:rPr>
          <w:sz w:val="24"/>
          <w:szCs w:val="24"/>
        </w:rPr>
        <w:t xml:space="preserve">The current EHT proposal at $0.26 per employee hour is estimated to raise approximately $75,000,000 per year, at a cost to the top 3% of businesses paying approximately $500 per FTE per year. </w:t>
      </w:r>
      <w:r w:rsidR="00752F31" w:rsidRPr="00E6526B">
        <w:rPr>
          <w:sz w:val="24"/>
          <w:szCs w:val="24"/>
        </w:rPr>
        <w:t xml:space="preserve">Where this lines up with respect to Seattle’s proportional share depends largely on which figures we use. If we rely solely on the low-end figures for both the population model and the assessed value model, Seattle’s mean proportional share is </w:t>
      </w:r>
      <w:r w:rsidR="00752F31" w:rsidRPr="00E6526B">
        <w:rPr>
          <w:b/>
          <w:sz w:val="24"/>
          <w:szCs w:val="24"/>
        </w:rPr>
        <w:t>$58,988,256.70</w:t>
      </w:r>
      <w:r w:rsidR="00752F31" w:rsidRPr="00E6526B">
        <w:rPr>
          <w:sz w:val="24"/>
          <w:szCs w:val="24"/>
        </w:rPr>
        <w:t xml:space="preserve"> based on the McKinsey/Chamber report. Alternatively, if we shoot for the highest-funding options, the mean proportional share is </w:t>
      </w:r>
      <w:r w:rsidR="00752F31" w:rsidRPr="00E6526B">
        <w:rPr>
          <w:b/>
          <w:sz w:val="24"/>
          <w:szCs w:val="24"/>
        </w:rPr>
        <w:t>$78,747,025.20</w:t>
      </w:r>
      <w:r w:rsidR="00752F31" w:rsidRPr="00E6526B">
        <w:rPr>
          <w:sz w:val="24"/>
          <w:szCs w:val="24"/>
        </w:rPr>
        <w:t xml:space="preserve">. Right in the middle of these is </w:t>
      </w:r>
      <w:r w:rsidR="00752F31" w:rsidRPr="00E6526B">
        <w:rPr>
          <w:b/>
          <w:sz w:val="24"/>
          <w:szCs w:val="24"/>
        </w:rPr>
        <w:t>$68,867,640.95</w:t>
      </w:r>
      <w:r w:rsidR="00752F31" w:rsidRPr="00E6526B">
        <w:rPr>
          <w:sz w:val="24"/>
          <w:szCs w:val="24"/>
        </w:rPr>
        <w:t>. Essentially, any figure that falls somewhere in this range on the revenue side essentially matches Seattle’s “Fair Share” pursuant to the McKinsey/Chamber report.</w:t>
      </w:r>
    </w:p>
    <w:p w14:paraId="61B9165B" w14:textId="77777777" w:rsidR="006E3458" w:rsidRPr="00E6526B" w:rsidRDefault="006E3458" w:rsidP="006E3458">
      <w:pPr>
        <w:rPr>
          <w:sz w:val="24"/>
          <w:szCs w:val="24"/>
        </w:rPr>
      </w:pPr>
    </w:p>
    <w:p w14:paraId="149B87B7" w14:textId="77777777" w:rsidR="006E3458" w:rsidRPr="00E6526B" w:rsidRDefault="006E3458" w:rsidP="006E3458">
      <w:pPr>
        <w:rPr>
          <w:sz w:val="24"/>
          <w:szCs w:val="24"/>
        </w:rPr>
      </w:pPr>
      <w:r w:rsidRPr="00E6526B">
        <w:rPr>
          <w:sz w:val="24"/>
          <w:szCs w:val="24"/>
        </w:rPr>
        <w:t>When looking more broadly at the proportional share component, it is also helpful to consider that federal corporate income tax collections in 2016 represented 9% of total federal revenues, with 47% coming from personal income taxes, and 34% from payroll taxes (with the 50/50 employer/employee split). In Seattle, revenues from businesses essentially come to about 53% of total revenues collected (47% of sales taxes, 100% of B&amp;O taxes, 34% of property taxes), and an addition of an EHT at $75,000,000 in revenue would increase that to about 55-56%, give or take (and depending on levy renewal rates). This does not consider TBD funding, which I have been unable to get a clear pi</w:t>
      </w:r>
      <w:r w:rsidR="009B67B8" w:rsidRPr="00E6526B">
        <w:rPr>
          <w:sz w:val="24"/>
          <w:szCs w:val="24"/>
        </w:rPr>
        <w:t>cture of funding proportion on.</w:t>
      </w:r>
    </w:p>
    <w:p w14:paraId="2DB2251D" w14:textId="77777777" w:rsidR="00752F31" w:rsidRPr="00E6526B" w:rsidRDefault="00752F31" w:rsidP="006E3458">
      <w:pPr>
        <w:rPr>
          <w:sz w:val="24"/>
          <w:szCs w:val="24"/>
        </w:rPr>
      </w:pPr>
    </w:p>
    <w:p w14:paraId="264694C4" w14:textId="77777777" w:rsidR="00752F31" w:rsidRPr="00E6526B" w:rsidRDefault="00752F31" w:rsidP="00752F31">
      <w:pPr>
        <w:pStyle w:val="ListParagraph"/>
        <w:numPr>
          <w:ilvl w:val="0"/>
          <w:numId w:val="15"/>
        </w:numPr>
        <w:rPr>
          <w:b/>
          <w:sz w:val="24"/>
          <w:szCs w:val="24"/>
        </w:rPr>
      </w:pPr>
      <w:r w:rsidRPr="00E6526B">
        <w:rPr>
          <w:b/>
          <w:sz w:val="24"/>
          <w:szCs w:val="24"/>
        </w:rPr>
        <w:t>Comparison to the EHT as proposed by Mayor Durkan</w:t>
      </w:r>
    </w:p>
    <w:p w14:paraId="7CC5E4C3" w14:textId="77777777" w:rsidR="00752F31" w:rsidRPr="00E6526B" w:rsidRDefault="00752F31" w:rsidP="00752F31">
      <w:pPr>
        <w:rPr>
          <w:b/>
          <w:sz w:val="24"/>
          <w:szCs w:val="24"/>
        </w:rPr>
      </w:pPr>
    </w:p>
    <w:p w14:paraId="4EE60A92" w14:textId="77777777" w:rsidR="00752F31" w:rsidRPr="00E6526B" w:rsidRDefault="00752F31" w:rsidP="00752F31">
      <w:pPr>
        <w:rPr>
          <w:sz w:val="24"/>
          <w:szCs w:val="24"/>
        </w:rPr>
      </w:pPr>
      <w:r w:rsidRPr="00E6526B">
        <w:rPr>
          <w:sz w:val="24"/>
          <w:szCs w:val="24"/>
        </w:rPr>
        <w:t xml:space="preserve">The Mayor’s proposal would generate new revenue of approximately $39 million per year, give or take. This falls about $20 million less than the McKinsey/Chamber report suggests is needed from Seattle as our proportional share based on the lowest figure calculation, and as much as $40 million below the McKinsey/Chamber report recommendation. </w:t>
      </w:r>
    </w:p>
    <w:p w14:paraId="6A305515" w14:textId="77777777" w:rsidR="00752F31" w:rsidRPr="00E6526B" w:rsidRDefault="00752F31" w:rsidP="00752F31">
      <w:pPr>
        <w:rPr>
          <w:sz w:val="24"/>
          <w:szCs w:val="24"/>
        </w:rPr>
      </w:pPr>
    </w:p>
    <w:p w14:paraId="5B3D02DC" w14:textId="77777777" w:rsidR="00752F31" w:rsidRPr="00E6526B" w:rsidRDefault="00752F31" w:rsidP="00752F31">
      <w:pPr>
        <w:rPr>
          <w:sz w:val="24"/>
          <w:szCs w:val="24"/>
        </w:rPr>
      </w:pPr>
      <w:r w:rsidRPr="00E6526B">
        <w:rPr>
          <w:sz w:val="24"/>
          <w:szCs w:val="24"/>
        </w:rPr>
        <w:t>Perhaps more out of line with what the McKinsey/Chamber data-driven report suggests, the spending plan, such as it is (being far less detailed than the Council plan, and without any public discussion of what any of the phrases mean, it is unclear what it is the plan does, but the estimated number of people served is significantly lower than the Council plan), appears lopsided inappropriately. Where the McKinsey/Chamber report, following basically every other study and report I’ve ever seen, states that 85% of revenue generated should go toward housing people – either through capital or stable rent subsidies (</w:t>
      </w:r>
      <w:proofErr w:type="spellStart"/>
      <w:r w:rsidRPr="00E6526B">
        <w:rPr>
          <w:sz w:val="24"/>
          <w:szCs w:val="24"/>
        </w:rPr>
        <w:t>ie</w:t>
      </w:r>
      <w:proofErr w:type="spellEnd"/>
      <w:r w:rsidRPr="00E6526B">
        <w:rPr>
          <w:sz w:val="24"/>
          <w:szCs w:val="24"/>
        </w:rPr>
        <w:t xml:space="preserve">: the city having control of a unit of housing for no less than 5 years, even if that is through renting on the private market in and around Seattle). </w:t>
      </w:r>
    </w:p>
    <w:p w14:paraId="4EA391E8" w14:textId="77777777" w:rsidR="00752F31" w:rsidRPr="00E6526B" w:rsidRDefault="00752F31" w:rsidP="00752F31">
      <w:pPr>
        <w:rPr>
          <w:sz w:val="24"/>
          <w:szCs w:val="24"/>
        </w:rPr>
      </w:pPr>
    </w:p>
    <w:p w14:paraId="74213EE7" w14:textId="2612E923" w:rsidR="00752F31" w:rsidRPr="00E6526B" w:rsidRDefault="00752F31" w:rsidP="00752F31">
      <w:pPr>
        <w:rPr>
          <w:sz w:val="24"/>
          <w:szCs w:val="24"/>
        </w:rPr>
      </w:pPr>
      <w:r w:rsidRPr="00E6526B">
        <w:rPr>
          <w:sz w:val="24"/>
          <w:szCs w:val="24"/>
        </w:rPr>
        <w:t xml:space="preserve">The Durkan plan suggests spending </w:t>
      </w:r>
      <w:r w:rsidR="00A723A9" w:rsidRPr="00E6526B">
        <w:rPr>
          <w:sz w:val="24"/>
          <w:szCs w:val="24"/>
        </w:rPr>
        <w:t xml:space="preserve">just 30% on housing, creating up to 250 units. 70% would be spent on “Shelter and Services,” including increased funding for encampment removals. There does not seem to be increased capacity in funding to support short-term enhanced shelter, and with the draconian cuts to the housing component, no plan appears in place to provide permanent housing for people moved into the few new beds created (about 1,000) by the Mayor’s plan. </w:t>
      </w:r>
    </w:p>
    <w:p w14:paraId="3E86A281" w14:textId="5584B0C5" w:rsidR="00E6526B" w:rsidRPr="00E6526B" w:rsidRDefault="00E6526B" w:rsidP="00752F31">
      <w:pPr>
        <w:rPr>
          <w:sz w:val="24"/>
          <w:szCs w:val="24"/>
        </w:rPr>
      </w:pPr>
    </w:p>
    <w:p w14:paraId="739E1AE2" w14:textId="77777777" w:rsidR="00E6526B" w:rsidRPr="00E6526B" w:rsidRDefault="00E6526B" w:rsidP="00E6526B">
      <w:pPr>
        <w:rPr>
          <w:b/>
          <w:color w:val="002060"/>
          <w:sz w:val="24"/>
          <w:szCs w:val="24"/>
        </w:rPr>
      </w:pPr>
      <w:r w:rsidRPr="00E6526B">
        <w:rPr>
          <w:b/>
          <w:bCs/>
          <w:i/>
          <w:iCs/>
          <w:color w:val="002060"/>
          <w:sz w:val="24"/>
          <w:szCs w:val="24"/>
        </w:rPr>
        <w:t>Updated Section</w:t>
      </w:r>
    </w:p>
    <w:p w14:paraId="137A552D" w14:textId="77777777" w:rsidR="00E6526B" w:rsidRPr="00E6526B" w:rsidRDefault="00E6526B" w:rsidP="00E6526B">
      <w:pPr>
        <w:rPr>
          <w:b/>
          <w:color w:val="002060"/>
          <w:sz w:val="24"/>
          <w:szCs w:val="24"/>
        </w:rPr>
      </w:pPr>
    </w:p>
    <w:p w14:paraId="5722699A" w14:textId="46C1F97F" w:rsidR="00E6526B" w:rsidRPr="00E6526B" w:rsidRDefault="00E6526B" w:rsidP="00E6526B">
      <w:pPr>
        <w:pStyle w:val="ListParagraph"/>
        <w:numPr>
          <w:ilvl w:val="0"/>
          <w:numId w:val="15"/>
        </w:numPr>
        <w:rPr>
          <w:b/>
          <w:color w:val="002060"/>
          <w:sz w:val="24"/>
          <w:szCs w:val="24"/>
        </w:rPr>
      </w:pPr>
      <w:r w:rsidRPr="00E6526B">
        <w:rPr>
          <w:b/>
          <w:bCs/>
          <w:color w:val="002060"/>
          <w:sz w:val="24"/>
          <w:szCs w:val="24"/>
        </w:rPr>
        <w:t>Additional Funding Identified by the Mayor</w:t>
      </w:r>
    </w:p>
    <w:p w14:paraId="5E3A1302" w14:textId="77777777" w:rsidR="00E6526B" w:rsidRPr="00E6526B" w:rsidRDefault="00E6526B" w:rsidP="00E6526B">
      <w:pPr>
        <w:rPr>
          <w:b/>
          <w:color w:val="002060"/>
          <w:sz w:val="24"/>
          <w:szCs w:val="24"/>
        </w:rPr>
      </w:pPr>
    </w:p>
    <w:p w14:paraId="74F81A4D" w14:textId="77777777" w:rsidR="00E6526B" w:rsidRPr="00E6526B" w:rsidRDefault="00E6526B" w:rsidP="00E6526B">
      <w:pPr>
        <w:rPr>
          <w:b/>
          <w:color w:val="002060"/>
          <w:sz w:val="24"/>
          <w:szCs w:val="24"/>
        </w:rPr>
      </w:pPr>
      <w:r w:rsidRPr="00E6526B">
        <w:rPr>
          <w:b/>
          <w:color w:val="002060"/>
          <w:sz w:val="24"/>
          <w:szCs w:val="24"/>
        </w:rPr>
        <w:t>During the May 11, 2018, Finance and Neighborhoods Committee meeting, it was revealed that, earlier that day or late the previous evening, Deputy Mayor Mike Fong reported to some or all Councilmembers that additional funding for services had been secured. There does not appear to be a detailed expenditure component, but broad outlines as follows:</w:t>
      </w:r>
    </w:p>
    <w:p w14:paraId="6D15EF5C" w14:textId="77777777" w:rsidR="00E6526B" w:rsidRPr="00E6526B" w:rsidRDefault="00E6526B" w:rsidP="00E6526B">
      <w:pPr>
        <w:rPr>
          <w:b/>
          <w:color w:val="002060"/>
          <w:sz w:val="24"/>
          <w:szCs w:val="24"/>
        </w:rPr>
      </w:pPr>
    </w:p>
    <w:p w14:paraId="7D8C9221" w14:textId="77777777" w:rsidR="00E6526B" w:rsidRPr="00E6526B" w:rsidRDefault="00E6526B" w:rsidP="00E6526B">
      <w:pPr>
        <w:numPr>
          <w:ilvl w:val="0"/>
          <w:numId w:val="16"/>
        </w:numPr>
        <w:textAlignment w:val="baseline"/>
        <w:rPr>
          <w:b/>
          <w:color w:val="002060"/>
          <w:sz w:val="24"/>
          <w:szCs w:val="24"/>
        </w:rPr>
      </w:pPr>
      <w:r w:rsidRPr="00E6526B">
        <w:rPr>
          <w:b/>
          <w:color w:val="002060"/>
          <w:sz w:val="24"/>
          <w:szCs w:val="24"/>
        </w:rPr>
        <w:t xml:space="preserve">$40 million in 2018 from the State for behavioral health, including crisis intervention, opioid treatment and overdose prevention, and detox facilities. </w:t>
      </w:r>
    </w:p>
    <w:p w14:paraId="14CF09FB" w14:textId="77777777" w:rsidR="00E6526B" w:rsidRPr="00E6526B" w:rsidRDefault="00E6526B" w:rsidP="00E6526B">
      <w:pPr>
        <w:numPr>
          <w:ilvl w:val="0"/>
          <w:numId w:val="16"/>
        </w:numPr>
        <w:textAlignment w:val="baseline"/>
        <w:rPr>
          <w:b/>
          <w:color w:val="002060"/>
          <w:sz w:val="24"/>
          <w:szCs w:val="24"/>
        </w:rPr>
      </w:pPr>
      <w:r w:rsidRPr="00E6526B">
        <w:rPr>
          <w:b/>
          <w:color w:val="002060"/>
          <w:sz w:val="24"/>
          <w:szCs w:val="24"/>
        </w:rPr>
        <w:t xml:space="preserve">Of that, $18-20 million will be ongoing annual funding from the state. </w:t>
      </w:r>
    </w:p>
    <w:p w14:paraId="65BE9DC0" w14:textId="77777777" w:rsidR="00E6526B" w:rsidRPr="00E6526B" w:rsidRDefault="00E6526B" w:rsidP="00E6526B">
      <w:pPr>
        <w:numPr>
          <w:ilvl w:val="0"/>
          <w:numId w:val="16"/>
        </w:numPr>
        <w:textAlignment w:val="baseline"/>
        <w:rPr>
          <w:b/>
          <w:color w:val="002060"/>
          <w:sz w:val="24"/>
          <w:szCs w:val="24"/>
        </w:rPr>
      </w:pPr>
      <w:r w:rsidRPr="00E6526B">
        <w:rPr>
          <w:b/>
          <w:color w:val="002060"/>
          <w:sz w:val="24"/>
          <w:szCs w:val="24"/>
        </w:rPr>
        <w:t>$5.7 million in 2018 from King County for the expansion of emergency shelter and safe alternatives for people living outdoors in two locations in Seattle.</w:t>
      </w:r>
    </w:p>
    <w:p w14:paraId="5CB6B819" w14:textId="77777777" w:rsidR="00E6526B" w:rsidRPr="00E6526B" w:rsidRDefault="00E6526B" w:rsidP="00E6526B">
      <w:pPr>
        <w:rPr>
          <w:b/>
          <w:color w:val="002060"/>
          <w:sz w:val="24"/>
          <w:szCs w:val="24"/>
        </w:rPr>
      </w:pPr>
    </w:p>
    <w:p w14:paraId="68C17FC1" w14:textId="77777777" w:rsidR="00E6526B" w:rsidRPr="00E6526B" w:rsidRDefault="00E6526B" w:rsidP="00E6526B">
      <w:pPr>
        <w:rPr>
          <w:b/>
          <w:color w:val="002060"/>
          <w:sz w:val="24"/>
          <w:szCs w:val="24"/>
        </w:rPr>
      </w:pPr>
      <w:r w:rsidRPr="00E6526B">
        <w:rPr>
          <w:b/>
          <w:color w:val="002060"/>
          <w:sz w:val="24"/>
          <w:szCs w:val="24"/>
        </w:rPr>
        <w:lastRenderedPageBreak/>
        <w:t xml:space="preserve">No details have been provided for the state money with respect to what strings are associated, and/or how freely those funds can be used to provide supportive services to individuals experiencing homelessness, or due to a confluence of issues are highly likely to experience homelessness without immediate support. In addition, there is nothing to indicate an ability to engage in a workforce stabilization program with this funding, assisting in lifting those who provide services to people experiencing homelessness directly out of near-poverty to poverty wages. </w:t>
      </w:r>
    </w:p>
    <w:p w14:paraId="624F05CC" w14:textId="77777777" w:rsidR="00E6526B" w:rsidRPr="00E6526B" w:rsidRDefault="00E6526B" w:rsidP="00E6526B">
      <w:pPr>
        <w:rPr>
          <w:b/>
          <w:color w:val="002060"/>
          <w:sz w:val="24"/>
          <w:szCs w:val="24"/>
        </w:rPr>
      </w:pPr>
    </w:p>
    <w:p w14:paraId="0C9E5887" w14:textId="77777777" w:rsidR="00E6526B" w:rsidRPr="00E6526B" w:rsidRDefault="00E6526B" w:rsidP="00E6526B">
      <w:pPr>
        <w:rPr>
          <w:b/>
          <w:color w:val="002060"/>
          <w:sz w:val="24"/>
          <w:szCs w:val="24"/>
        </w:rPr>
      </w:pPr>
      <w:r w:rsidRPr="00E6526B">
        <w:rPr>
          <w:b/>
          <w:color w:val="002060"/>
          <w:sz w:val="24"/>
          <w:szCs w:val="24"/>
        </w:rPr>
        <w:t xml:space="preserve">Additionally, nothing in this should be construed as making up of the “Seattle Share” outlined above. As noted in the McKinsey report, the state has not kept up with funding needs, and when adjusted for inflation and population, has been decreasing funding for homelessness services for years. Of note, </w:t>
      </w:r>
      <w:r w:rsidRPr="00E6526B">
        <w:rPr>
          <w:b/>
          <w:i/>
          <w:iCs/>
          <w:color w:val="002060"/>
          <w:sz w:val="24"/>
          <w:szCs w:val="24"/>
        </w:rPr>
        <w:t>McCleary</w:t>
      </w:r>
      <w:r w:rsidRPr="00E6526B">
        <w:rPr>
          <w:b/>
          <w:color w:val="002060"/>
          <w:sz w:val="24"/>
          <w:szCs w:val="24"/>
        </w:rPr>
        <w:t xml:space="preserve"> isn’t the only area where the State is violating a court order, there remains a case out of Pierce County regarding mental health care funding, and out of Whatcom County regarding foster system under-funding. </w:t>
      </w:r>
    </w:p>
    <w:p w14:paraId="31B6D85C" w14:textId="77777777" w:rsidR="00E6526B" w:rsidRPr="00E6526B" w:rsidRDefault="00E6526B" w:rsidP="00E6526B">
      <w:pPr>
        <w:rPr>
          <w:b/>
          <w:color w:val="002060"/>
          <w:sz w:val="24"/>
          <w:szCs w:val="24"/>
        </w:rPr>
      </w:pPr>
    </w:p>
    <w:p w14:paraId="4E97066E" w14:textId="67C0CCC3" w:rsidR="00E6526B" w:rsidRPr="00E6526B" w:rsidRDefault="00E6526B" w:rsidP="00E6526B">
      <w:pPr>
        <w:rPr>
          <w:b/>
          <w:color w:val="002060"/>
          <w:sz w:val="24"/>
          <w:szCs w:val="24"/>
        </w:rPr>
      </w:pPr>
      <w:r w:rsidRPr="00E6526B">
        <w:rPr>
          <w:b/>
          <w:color w:val="002060"/>
          <w:sz w:val="24"/>
          <w:szCs w:val="24"/>
        </w:rPr>
        <w:t xml:space="preserve">Further, the $5.7 million is explicitly “county share.” Considering that 40% of county property tax revenues are generated in Seattle, it is only fair that their share includes directly funding services in our city. </w:t>
      </w:r>
    </w:p>
    <w:p w14:paraId="6A7C4FA5" w14:textId="77777777" w:rsidR="00E6526B" w:rsidRPr="00E6526B" w:rsidRDefault="00E6526B" w:rsidP="00E6526B">
      <w:pPr>
        <w:rPr>
          <w:b/>
          <w:color w:val="002060"/>
          <w:sz w:val="24"/>
          <w:szCs w:val="24"/>
        </w:rPr>
      </w:pPr>
    </w:p>
    <w:p w14:paraId="12DE8EF8" w14:textId="64020E05" w:rsidR="00E6526B" w:rsidRPr="00E6526B" w:rsidRDefault="00E6526B" w:rsidP="00E6526B">
      <w:pPr>
        <w:pStyle w:val="ListParagraph"/>
        <w:numPr>
          <w:ilvl w:val="0"/>
          <w:numId w:val="15"/>
        </w:numPr>
        <w:rPr>
          <w:b/>
          <w:color w:val="002060"/>
          <w:sz w:val="24"/>
          <w:szCs w:val="24"/>
        </w:rPr>
      </w:pPr>
      <w:r w:rsidRPr="00E6526B">
        <w:rPr>
          <w:b/>
          <w:bCs/>
          <w:color w:val="002060"/>
          <w:sz w:val="24"/>
          <w:szCs w:val="24"/>
        </w:rPr>
        <w:t>Additional Information re: the McKinsey/Chamber Report</w:t>
      </w:r>
    </w:p>
    <w:p w14:paraId="7F1F6DDF" w14:textId="77777777" w:rsidR="00E6526B" w:rsidRPr="00E6526B" w:rsidRDefault="00E6526B" w:rsidP="00E6526B">
      <w:pPr>
        <w:rPr>
          <w:b/>
          <w:color w:val="002060"/>
          <w:sz w:val="24"/>
          <w:szCs w:val="24"/>
        </w:rPr>
      </w:pPr>
    </w:p>
    <w:p w14:paraId="73C70389" w14:textId="77777777" w:rsidR="00E6526B" w:rsidRPr="00E6526B" w:rsidRDefault="00E6526B" w:rsidP="00E6526B">
      <w:pPr>
        <w:rPr>
          <w:b/>
          <w:color w:val="002060"/>
          <w:sz w:val="24"/>
          <w:szCs w:val="24"/>
        </w:rPr>
      </w:pPr>
      <w:r w:rsidRPr="00E6526B">
        <w:rPr>
          <w:b/>
          <w:color w:val="002060"/>
          <w:sz w:val="24"/>
          <w:szCs w:val="24"/>
        </w:rPr>
        <w:t xml:space="preserve">A key component of Seattle’s efforts regarding permanent housing does not appear to be considered in the McKinsey/Chamber report. Notably, the study period ended on December 15, 2017, prior to the NOFA awards from OH. For the purposes here, the share of the 2016 Housing Levy that goes toward 0-30% AMI production and preservation is about $20 million. This does, however, including re-investment in existing extremely-low-to-no-income units, and is a high figure for new unit production. </w:t>
      </w:r>
    </w:p>
    <w:p w14:paraId="34DFA4F8" w14:textId="77777777" w:rsidR="00E6526B" w:rsidRPr="00E6526B" w:rsidRDefault="00E6526B" w:rsidP="00E6526B">
      <w:pPr>
        <w:rPr>
          <w:b/>
          <w:color w:val="002060"/>
          <w:sz w:val="24"/>
          <w:szCs w:val="24"/>
        </w:rPr>
      </w:pPr>
    </w:p>
    <w:p w14:paraId="02C87DDD" w14:textId="77777777" w:rsidR="00E6526B" w:rsidRPr="00E6526B" w:rsidRDefault="00E6526B" w:rsidP="00E6526B">
      <w:pPr>
        <w:rPr>
          <w:b/>
          <w:color w:val="002060"/>
          <w:sz w:val="24"/>
          <w:szCs w:val="24"/>
        </w:rPr>
      </w:pPr>
      <w:r w:rsidRPr="00E6526B">
        <w:rPr>
          <w:b/>
          <w:color w:val="002060"/>
          <w:sz w:val="24"/>
          <w:szCs w:val="24"/>
        </w:rPr>
        <w:t xml:space="preserve">For the overall conversation, this is important, and does add up to $20 million per year toward the Seattle Share contemplated by the McKinsey/Chamber report. Additional information is needed as to how much of that is anticipated to be for re-investment, and whether that would change the calculous. </w:t>
      </w:r>
    </w:p>
    <w:p w14:paraId="0D0AFBB6" w14:textId="77777777" w:rsidR="00E6526B" w:rsidRPr="00E6526B" w:rsidRDefault="00E6526B" w:rsidP="00E6526B">
      <w:pPr>
        <w:rPr>
          <w:b/>
          <w:color w:val="002060"/>
          <w:sz w:val="24"/>
          <w:szCs w:val="24"/>
        </w:rPr>
      </w:pPr>
    </w:p>
    <w:p w14:paraId="796735B4" w14:textId="2947BD72" w:rsidR="00E6526B" w:rsidRPr="00E6526B" w:rsidRDefault="00E6526B" w:rsidP="00E6526B">
      <w:pPr>
        <w:pStyle w:val="ListParagraph"/>
        <w:numPr>
          <w:ilvl w:val="0"/>
          <w:numId w:val="15"/>
        </w:numPr>
        <w:rPr>
          <w:b/>
          <w:color w:val="002060"/>
          <w:sz w:val="24"/>
          <w:szCs w:val="24"/>
        </w:rPr>
      </w:pPr>
      <w:r w:rsidRPr="00E6526B">
        <w:rPr>
          <w:b/>
          <w:bCs/>
          <w:color w:val="002060"/>
          <w:sz w:val="24"/>
          <w:szCs w:val="24"/>
        </w:rPr>
        <w:t>How We Meet the Capital Goals of the McKinsey/Chamber Report</w:t>
      </w:r>
    </w:p>
    <w:p w14:paraId="07842A43" w14:textId="77777777" w:rsidR="00E6526B" w:rsidRPr="00E6526B" w:rsidRDefault="00E6526B" w:rsidP="00E6526B">
      <w:pPr>
        <w:rPr>
          <w:b/>
          <w:color w:val="002060"/>
          <w:sz w:val="24"/>
          <w:szCs w:val="24"/>
        </w:rPr>
      </w:pPr>
    </w:p>
    <w:p w14:paraId="74560728" w14:textId="77777777" w:rsidR="00E6526B" w:rsidRPr="00E6526B" w:rsidRDefault="00E6526B" w:rsidP="00E6526B">
      <w:pPr>
        <w:rPr>
          <w:b/>
          <w:color w:val="002060"/>
          <w:sz w:val="24"/>
          <w:szCs w:val="24"/>
        </w:rPr>
      </w:pPr>
      <w:r w:rsidRPr="00E6526B">
        <w:rPr>
          <w:b/>
          <w:color w:val="002060"/>
          <w:sz w:val="24"/>
          <w:szCs w:val="24"/>
        </w:rPr>
        <w:t xml:space="preserve">Through reducing expenditures on projects and programs that are likely to be included in the $18 million per year from the state, the current spending plan allocates 66% of EHT funds to capital investments, 33% to programmatic investments (including about $4.7 million per year on rental housing support for long-term support utilizing existing market-rate units, landlord-liaison, and/or master-leasing options). </w:t>
      </w:r>
    </w:p>
    <w:p w14:paraId="235D79ED" w14:textId="77777777" w:rsidR="00E6526B" w:rsidRPr="00E6526B" w:rsidRDefault="00E6526B" w:rsidP="00E6526B">
      <w:pPr>
        <w:rPr>
          <w:b/>
          <w:color w:val="002060"/>
          <w:sz w:val="24"/>
          <w:szCs w:val="24"/>
        </w:rPr>
      </w:pPr>
    </w:p>
    <w:p w14:paraId="541B3E41" w14:textId="77777777" w:rsidR="00E6526B" w:rsidRPr="00E6526B" w:rsidRDefault="00E6526B" w:rsidP="00E6526B">
      <w:pPr>
        <w:rPr>
          <w:b/>
          <w:color w:val="002060"/>
          <w:sz w:val="24"/>
          <w:szCs w:val="24"/>
        </w:rPr>
      </w:pPr>
      <w:r w:rsidRPr="00E6526B">
        <w:rPr>
          <w:b/>
          <w:color w:val="002060"/>
          <w:sz w:val="24"/>
          <w:szCs w:val="24"/>
        </w:rPr>
        <w:t xml:space="preserve">If we add in the $100 million over five years from the housing levy that was missed in the McKinsey/Chamber report, the total investment on the capital side makes up about 74% of overall spending. It doesn’t quite hit the 85% figure exactly, but if we add in the long-term rental assistance component, it crosses the 80% line (an argument can be made that paying rent in the market pending production of a permanently affordable unit - not on a fixed-term basis like with rapid-rehousing or other emergency rental assistance programs - falls more in the “housing” than “program” side). </w:t>
      </w:r>
    </w:p>
    <w:p w14:paraId="3430368E" w14:textId="77777777" w:rsidR="00E6526B" w:rsidRPr="00E6526B" w:rsidRDefault="00E6526B" w:rsidP="00E6526B">
      <w:pPr>
        <w:rPr>
          <w:b/>
          <w:color w:val="002060"/>
          <w:sz w:val="24"/>
          <w:szCs w:val="24"/>
        </w:rPr>
      </w:pPr>
    </w:p>
    <w:p w14:paraId="38A9B17D" w14:textId="637DDDB7" w:rsidR="00E6526B" w:rsidRPr="00E6526B" w:rsidRDefault="00E6526B" w:rsidP="00E6526B">
      <w:pPr>
        <w:pStyle w:val="ListParagraph"/>
        <w:numPr>
          <w:ilvl w:val="0"/>
          <w:numId w:val="15"/>
        </w:numPr>
        <w:rPr>
          <w:b/>
          <w:color w:val="002060"/>
          <w:sz w:val="24"/>
          <w:szCs w:val="24"/>
        </w:rPr>
      </w:pPr>
      <w:r w:rsidRPr="00E6526B">
        <w:rPr>
          <w:b/>
          <w:bCs/>
          <w:color w:val="002060"/>
          <w:sz w:val="24"/>
          <w:szCs w:val="24"/>
        </w:rPr>
        <w:t>The Five-Year Plan</w:t>
      </w:r>
    </w:p>
    <w:p w14:paraId="610AE253" w14:textId="77777777" w:rsidR="00E6526B" w:rsidRPr="00E6526B" w:rsidRDefault="00E6526B" w:rsidP="00E6526B">
      <w:pPr>
        <w:rPr>
          <w:b/>
          <w:color w:val="002060"/>
          <w:sz w:val="24"/>
          <w:szCs w:val="24"/>
        </w:rPr>
      </w:pPr>
      <w:r w:rsidRPr="00E6526B">
        <w:rPr>
          <w:b/>
          <w:color w:val="002060"/>
          <w:sz w:val="24"/>
          <w:szCs w:val="24"/>
        </w:rPr>
        <w:t xml:space="preserve"> </w:t>
      </w:r>
    </w:p>
    <w:p w14:paraId="799962CA" w14:textId="77777777" w:rsidR="00E6526B" w:rsidRPr="00E6526B" w:rsidRDefault="00E6526B" w:rsidP="00E6526B">
      <w:pPr>
        <w:rPr>
          <w:b/>
          <w:color w:val="002060"/>
          <w:sz w:val="24"/>
          <w:szCs w:val="24"/>
        </w:rPr>
      </w:pPr>
      <w:r w:rsidRPr="00E6526B">
        <w:rPr>
          <w:b/>
          <w:color w:val="002060"/>
          <w:sz w:val="24"/>
          <w:szCs w:val="24"/>
        </w:rPr>
        <w:t xml:space="preserve">When utilizing the McKinsey/Chamber report numbers, and in consideration of the “Seattle Share,” a reduced EHT can still hit the targets set by that report, while not placing Seattle in a position to do more than our fair share. At the same time, this offers a compromise position between the Mayor’s $250 per FTE proposal on the funding side, and the Council/Community’s $500 per FTE proposal. As Executive Constantine noted, he has been “working for the last 20 years to bring jobs to our region,” which is admirable. Ideally these efforts will help kick-start the County working to bring </w:t>
      </w:r>
      <w:r w:rsidRPr="00E6526B">
        <w:rPr>
          <w:b/>
          <w:i/>
          <w:iCs/>
          <w:color w:val="002060"/>
          <w:sz w:val="24"/>
          <w:szCs w:val="24"/>
        </w:rPr>
        <w:t>housing</w:t>
      </w:r>
      <w:r w:rsidRPr="00E6526B">
        <w:rPr>
          <w:b/>
          <w:color w:val="002060"/>
          <w:sz w:val="24"/>
          <w:szCs w:val="24"/>
        </w:rPr>
        <w:t xml:space="preserve"> to the region, as well, and consider additional powers under the GMA to make market rate production more affordable, as well as rent-restricted and subsidized housing. </w:t>
      </w:r>
    </w:p>
    <w:p w14:paraId="0C6FDB05" w14:textId="77777777" w:rsidR="00E6526B" w:rsidRPr="00E6526B" w:rsidRDefault="00E6526B" w:rsidP="00E6526B">
      <w:pPr>
        <w:rPr>
          <w:b/>
          <w:color w:val="002060"/>
          <w:sz w:val="24"/>
          <w:szCs w:val="24"/>
        </w:rPr>
      </w:pPr>
    </w:p>
    <w:p w14:paraId="3A31F734" w14:textId="77777777" w:rsidR="00E6526B" w:rsidRPr="00E6526B" w:rsidRDefault="00E6526B" w:rsidP="00E6526B">
      <w:pPr>
        <w:rPr>
          <w:b/>
          <w:color w:val="002060"/>
          <w:sz w:val="24"/>
          <w:szCs w:val="24"/>
        </w:rPr>
      </w:pPr>
      <w:r w:rsidRPr="00E6526B">
        <w:rPr>
          <w:b/>
          <w:color w:val="002060"/>
          <w:sz w:val="24"/>
          <w:szCs w:val="24"/>
        </w:rPr>
        <w:t xml:space="preserve">Additionally, with the EHT set to expire at the same time as the Housing Levy, there will be time to determine whether to look at an EHT as part of the overall funding mechanism for the housing levy, helping to diversify revenue streams, especially in light of ongoing and significant increases to other property tax levies that have a disproportionate revenue generated from non-businesses. </w:t>
      </w:r>
    </w:p>
    <w:p w14:paraId="29E55C0F" w14:textId="77777777" w:rsidR="00E6526B" w:rsidRPr="00E6526B" w:rsidRDefault="00E6526B" w:rsidP="00E6526B">
      <w:pPr>
        <w:rPr>
          <w:b/>
          <w:color w:val="002060"/>
          <w:sz w:val="24"/>
          <w:szCs w:val="24"/>
        </w:rPr>
      </w:pPr>
    </w:p>
    <w:p w14:paraId="5F0980F1" w14:textId="1A2F03E7" w:rsidR="00E6526B" w:rsidRPr="00E6526B" w:rsidRDefault="00E6526B" w:rsidP="00E6526B">
      <w:pPr>
        <w:pStyle w:val="ListParagraph"/>
        <w:numPr>
          <w:ilvl w:val="0"/>
          <w:numId w:val="15"/>
        </w:numPr>
        <w:rPr>
          <w:b/>
          <w:color w:val="002060"/>
          <w:sz w:val="24"/>
          <w:szCs w:val="24"/>
        </w:rPr>
      </w:pPr>
      <w:r w:rsidRPr="00E6526B">
        <w:rPr>
          <w:b/>
          <w:bCs/>
          <w:color w:val="002060"/>
          <w:sz w:val="24"/>
          <w:szCs w:val="24"/>
        </w:rPr>
        <w:t>How This Fits into Other Work Being Done</w:t>
      </w:r>
    </w:p>
    <w:p w14:paraId="0AA4810F" w14:textId="77777777" w:rsidR="00E6526B" w:rsidRPr="00E6526B" w:rsidRDefault="00E6526B" w:rsidP="00E6526B">
      <w:pPr>
        <w:rPr>
          <w:b/>
          <w:color w:val="002060"/>
          <w:sz w:val="24"/>
          <w:szCs w:val="24"/>
        </w:rPr>
      </w:pPr>
    </w:p>
    <w:p w14:paraId="63F7D851" w14:textId="409D5BF3" w:rsidR="00E6526B" w:rsidRPr="00E6526B" w:rsidRDefault="00E6526B" w:rsidP="00E6526B">
      <w:pPr>
        <w:rPr>
          <w:b/>
          <w:color w:val="002060"/>
          <w:sz w:val="24"/>
          <w:szCs w:val="24"/>
        </w:rPr>
      </w:pPr>
      <w:r w:rsidRPr="00E6526B">
        <w:rPr>
          <w:b/>
          <w:color w:val="002060"/>
          <w:sz w:val="24"/>
          <w:szCs w:val="24"/>
        </w:rPr>
        <w:t>With the recently passed legislation that makes it easier for OH to acquire properties, we have begun a series of bills designed to reduce the overall cost of production of affordable housing. With the upcoming disposition policies - from 80/80/80 to implementation of the Ryu bill - there are additional opportunities to reduce the cost using below-market value public property transfers, and land-leasing for under-utilized properties, that can mean more units overall. This is in addition to potential programmatic elements of the AADU/DADU pr</w:t>
      </w:r>
      <w:r w:rsidR="00F51BAF">
        <w:rPr>
          <w:b/>
          <w:color w:val="002060"/>
          <w:sz w:val="24"/>
          <w:szCs w:val="24"/>
        </w:rPr>
        <w:t>ogram once an FEIS is complete.</w:t>
      </w:r>
    </w:p>
    <w:p w14:paraId="36327A49" w14:textId="77777777" w:rsidR="00E6526B" w:rsidRPr="00E6526B" w:rsidRDefault="00E6526B" w:rsidP="00E6526B">
      <w:pPr>
        <w:rPr>
          <w:sz w:val="24"/>
          <w:szCs w:val="24"/>
        </w:rPr>
      </w:pPr>
    </w:p>
    <w:p w14:paraId="498A1AB6" w14:textId="3CB1EA89" w:rsidR="00E6526B" w:rsidRPr="00E6526B" w:rsidRDefault="00E6526B" w:rsidP="00E6526B">
      <w:pPr>
        <w:pStyle w:val="ListParagraph"/>
        <w:numPr>
          <w:ilvl w:val="0"/>
          <w:numId w:val="15"/>
        </w:numPr>
        <w:rPr>
          <w:sz w:val="24"/>
          <w:szCs w:val="24"/>
        </w:rPr>
      </w:pPr>
      <w:r w:rsidRPr="00E6526B">
        <w:rPr>
          <w:b/>
          <w:bCs/>
          <w:color w:val="000000"/>
          <w:sz w:val="24"/>
          <w:szCs w:val="24"/>
        </w:rPr>
        <w:t>Updated Conclusion</w:t>
      </w:r>
      <w:r w:rsidRPr="00E6526B">
        <w:rPr>
          <w:color w:val="000000"/>
          <w:sz w:val="24"/>
          <w:szCs w:val="24"/>
        </w:rPr>
        <w:t xml:space="preserve"> </w:t>
      </w:r>
    </w:p>
    <w:p w14:paraId="522F89F0" w14:textId="77777777" w:rsidR="00E6526B" w:rsidRPr="00E6526B" w:rsidRDefault="00E6526B" w:rsidP="00E6526B">
      <w:pPr>
        <w:rPr>
          <w:sz w:val="24"/>
          <w:szCs w:val="24"/>
        </w:rPr>
      </w:pPr>
      <w:r w:rsidRPr="00E6526B">
        <w:rPr>
          <w:color w:val="000000"/>
          <w:sz w:val="24"/>
          <w:szCs w:val="24"/>
        </w:rPr>
        <w:t xml:space="preserve"> </w:t>
      </w:r>
    </w:p>
    <w:p w14:paraId="04CBA384" w14:textId="77777777" w:rsidR="00E6526B" w:rsidRPr="00E6526B" w:rsidRDefault="00E6526B" w:rsidP="00E6526B">
      <w:pPr>
        <w:rPr>
          <w:sz w:val="24"/>
          <w:szCs w:val="24"/>
        </w:rPr>
      </w:pPr>
      <w:r w:rsidRPr="00E6526B">
        <w:rPr>
          <w:color w:val="000000"/>
          <w:sz w:val="24"/>
          <w:szCs w:val="24"/>
        </w:rPr>
        <w:t>Based on the report and considerations from the Chamber, it is clear that we are, as a city, moving in the right direction on expenditures, while also needing more money, especially for capital investments (long-term) and immediate rental support (short-term). Seattle’s “share” of that revenue, when not considering existing programs that we do, is somewhere between $53,464,000 and $87,404,050.  </w:t>
      </w:r>
    </w:p>
    <w:p w14:paraId="134CC4F0" w14:textId="77777777" w:rsidR="00E6526B" w:rsidRPr="00E6526B" w:rsidRDefault="00E6526B" w:rsidP="00E6526B">
      <w:pPr>
        <w:rPr>
          <w:sz w:val="24"/>
          <w:szCs w:val="24"/>
        </w:rPr>
      </w:pPr>
      <w:r w:rsidRPr="00E6526B">
        <w:rPr>
          <w:color w:val="000000"/>
          <w:sz w:val="24"/>
          <w:szCs w:val="24"/>
        </w:rPr>
        <w:t xml:space="preserve"> </w:t>
      </w:r>
    </w:p>
    <w:p w14:paraId="032BF7B1" w14:textId="0263CF34" w:rsidR="00E6526B" w:rsidRDefault="00E6526B" w:rsidP="00E6526B">
      <w:pPr>
        <w:rPr>
          <w:color w:val="000000"/>
          <w:sz w:val="24"/>
          <w:szCs w:val="24"/>
        </w:rPr>
      </w:pPr>
      <w:r w:rsidRPr="00E6526B">
        <w:rPr>
          <w:color w:val="000000"/>
          <w:sz w:val="24"/>
          <w:szCs w:val="24"/>
        </w:rPr>
        <w:t>While a property tax increase would land on the higher amount, it would be spread further, and have a disproportionate impact on low-income and fixed-income households, as well as small businesses. Conversely, the EHT would have an impact only on the largest employers (by revenue), while helping to balance some of the tax imbalance caused by the Trump corporate tax breaks (and providing some backfill for the Trump programmatic cuts to health, food, and housing support).  </w:t>
      </w:r>
    </w:p>
    <w:p w14:paraId="4A10B1AA" w14:textId="6EE747C2" w:rsidR="00E6526B" w:rsidRDefault="00E6526B" w:rsidP="00E6526B">
      <w:pPr>
        <w:rPr>
          <w:sz w:val="24"/>
          <w:szCs w:val="24"/>
        </w:rPr>
      </w:pPr>
    </w:p>
    <w:p w14:paraId="39B8BECF" w14:textId="62A78DB2" w:rsidR="00E6526B" w:rsidRDefault="00E6526B" w:rsidP="00E6526B">
      <w:pPr>
        <w:rPr>
          <w:b/>
          <w:color w:val="002060"/>
          <w:sz w:val="24"/>
          <w:szCs w:val="24"/>
        </w:rPr>
      </w:pPr>
      <w:r>
        <w:rPr>
          <w:b/>
          <w:color w:val="002060"/>
          <w:sz w:val="24"/>
          <w:szCs w:val="24"/>
        </w:rPr>
        <w:t xml:space="preserve">With additional considerations for expenditures from the 2016 Housing Levy for production of housing at 0-30% AMI, a five-year EHT at $350 per FTE ($0.168 per hour) puts Seattle within the range of the “Seattle Share” outlined in the McKinsey/Chamber </w:t>
      </w:r>
      <w:r>
        <w:rPr>
          <w:b/>
          <w:color w:val="002060"/>
          <w:sz w:val="24"/>
          <w:szCs w:val="24"/>
        </w:rPr>
        <w:lastRenderedPageBreak/>
        <w:t xml:space="preserve">report, </w:t>
      </w:r>
      <w:r w:rsidR="00D01384">
        <w:rPr>
          <w:b/>
          <w:color w:val="002060"/>
          <w:sz w:val="24"/>
          <w:szCs w:val="24"/>
        </w:rPr>
        <w:t>doing</w:t>
      </w:r>
      <w:r>
        <w:rPr>
          <w:b/>
          <w:color w:val="002060"/>
          <w:sz w:val="24"/>
          <w:szCs w:val="24"/>
        </w:rPr>
        <w:t xml:space="preserve"> so while impacting only those businesses that have gained the most from the Trump tax cuts, and anticipated and pending service and housing cuts. </w:t>
      </w:r>
    </w:p>
    <w:p w14:paraId="547A8429" w14:textId="0ED7F14E" w:rsidR="00E6526B" w:rsidRDefault="00E6526B" w:rsidP="00E6526B">
      <w:pPr>
        <w:rPr>
          <w:b/>
          <w:color w:val="002060"/>
          <w:sz w:val="24"/>
          <w:szCs w:val="24"/>
        </w:rPr>
      </w:pPr>
    </w:p>
    <w:p w14:paraId="0D50F96F" w14:textId="3FE01BDA" w:rsidR="00D01384" w:rsidRPr="00E6526B" w:rsidRDefault="00E6526B" w:rsidP="00D01384">
      <w:pPr>
        <w:rPr>
          <w:color w:val="000000"/>
          <w:sz w:val="24"/>
          <w:szCs w:val="24"/>
        </w:rPr>
      </w:pPr>
      <w:r>
        <w:rPr>
          <w:b/>
          <w:color w:val="002060"/>
          <w:sz w:val="24"/>
          <w:szCs w:val="24"/>
        </w:rPr>
        <w:t>At this amount, the impact on labor costs for an employee making $100,000 per year, without consideration of additional benefits (healthcare, safe and sick leave costs, vacation costs, additional benefits) is approximately 00.3% (one third of one percent). For an employee at $50,000 per year, with the same considerations, 00.7%. For an employee making $15 per hour (and subsequently qualifying for various housing benefits, and potentially government subsidized healthcare, transportation, and food benefits), the labor cost would be impacted by 1.12%</w:t>
      </w:r>
      <w:r w:rsidR="00D01384">
        <w:rPr>
          <w:b/>
          <w:color w:val="002060"/>
          <w:sz w:val="24"/>
          <w:szCs w:val="24"/>
        </w:rPr>
        <w:t>. All of these are, of course, for companies making $20,000,000, or more, per year.</w:t>
      </w:r>
    </w:p>
    <w:p w14:paraId="2AC51064" w14:textId="4344B167" w:rsidR="00C450A6" w:rsidRPr="00E6526B" w:rsidRDefault="00E6526B" w:rsidP="006E3458">
      <w:pPr>
        <w:rPr>
          <w:sz w:val="24"/>
          <w:szCs w:val="24"/>
        </w:rPr>
      </w:pPr>
      <w:r w:rsidRPr="00E6526B">
        <w:rPr>
          <w:color w:val="000000"/>
          <w:sz w:val="24"/>
          <w:szCs w:val="24"/>
        </w:rPr>
        <w:t xml:space="preserve"> </w:t>
      </w:r>
      <w:bookmarkStart w:id="0" w:name="_GoBack"/>
      <w:bookmarkEnd w:id="0"/>
    </w:p>
    <w:sectPr w:rsidR="00C450A6" w:rsidRPr="00E6526B" w:rsidSect="002314DB">
      <w:headerReference w:type="default" r:id="rId7"/>
      <w:footerReference w:type="even" r:id="rId8"/>
      <w:footerReference w:type="default" r:id="rId9"/>
      <w:headerReference w:type="first" r:id="rId10"/>
      <w:footerReference w:type="first" r:id="rId11"/>
      <w:pgSz w:w="12240" w:h="15840"/>
      <w:pgMar w:top="1440" w:right="1440" w:bottom="720" w:left="1440" w:header="720" w:footer="405"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0101" w14:textId="77777777" w:rsidR="00202A9E" w:rsidRDefault="00202A9E">
      <w:r>
        <w:separator/>
      </w:r>
    </w:p>
  </w:endnote>
  <w:endnote w:type="continuationSeparator" w:id="0">
    <w:p w14:paraId="2A1F4CF9" w14:textId="77777777" w:rsidR="00202A9E" w:rsidRDefault="0020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03DB" w14:textId="77777777" w:rsidR="00F51BAF" w:rsidRDefault="00F51BAF" w:rsidP="002C05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63236" w14:textId="77777777" w:rsidR="00F51BAF" w:rsidRDefault="00F51BAF" w:rsidP="00F51B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C8EB" w14:textId="77777777" w:rsidR="00F51BAF" w:rsidRDefault="00F51BAF" w:rsidP="002C05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D3CF90" w14:textId="77777777" w:rsidR="00E6526B" w:rsidRPr="00FE0F19" w:rsidRDefault="00E6526B" w:rsidP="00F51BAF">
    <w:pPr>
      <w:pStyle w:val="Footer"/>
      <w:ind w:right="360"/>
      <w:rPr>
        <w:rFonts w:asciiTheme="minorHAnsi" w:hAnsiTheme="minorHAnsi" w:cs="Arial"/>
        <w:sz w:val="18"/>
      </w:rPr>
    </w:pPr>
  </w:p>
  <w:p w14:paraId="72CEAF3C" w14:textId="77777777" w:rsidR="00E6526B" w:rsidRPr="00FE0F19" w:rsidRDefault="00E6526B" w:rsidP="00FE0F19">
    <w:pPr>
      <w:pStyle w:val="Footer"/>
      <w:jc w:val="center"/>
      <w:rPr>
        <w:rFonts w:asciiTheme="minorHAnsi" w:hAnsiTheme="minorHAnsi"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6D91" w14:textId="77777777" w:rsidR="00E6526B" w:rsidRPr="00154E87" w:rsidRDefault="00E6526B" w:rsidP="002923B8">
    <w:pPr>
      <w:pStyle w:val="Footer"/>
      <w:jc w:val="center"/>
      <w:rPr>
        <w:rFonts w:asciiTheme="minorHAnsi" w:hAnsiTheme="minorHAnsi" w:cs="Arial"/>
      </w:rPr>
    </w:pPr>
    <w:r w:rsidRPr="00154E87">
      <w:rPr>
        <w:rFonts w:asciiTheme="minorHAnsi" w:hAnsiTheme="minorHAnsi" w:cs="Arial"/>
        <w:sz w:val="16"/>
      </w:rPr>
      <w:t>An equal opportunity employer</w:t>
    </w:r>
  </w:p>
  <w:p w14:paraId="747A0DD1" w14:textId="77777777" w:rsidR="00E6526B" w:rsidRPr="00154E87" w:rsidRDefault="00E6526B" w:rsidP="002923B8">
    <w:pPr>
      <w:pStyle w:val="Footer"/>
      <w:jc w:val="center"/>
      <w:rPr>
        <w:rFonts w:asciiTheme="minorHAnsi" w:hAnsiTheme="minorHAnsi" w:cs="Arial"/>
        <w:sz w:val="18"/>
      </w:rPr>
    </w:pPr>
    <w:r>
      <w:rPr>
        <w:rFonts w:asciiTheme="minorHAnsi" w:hAnsiTheme="minorHAnsi" w:cs="Arial"/>
        <w:sz w:val="18"/>
      </w:rPr>
      <w:t xml:space="preserve">600 Fourth Avenue, Floor 2 | PO Box 34025, Seattle | </w:t>
    </w:r>
    <w:proofErr w:type="gramStart"/>
    <w:r w:rsidRPr="00154E87">
      <w:rPr>
        <w:rFonts w:asciiTheme="minorHAnsi" w:hAnsiTheme="minorHAnsi" w:cs="Arial"/>
        <w:sz w:val="18"/>
      </w:rPr>
      <w:t>Washington  98124</w:t>
    </w:r>
    <w:proofErr w:type="gramEnd"/>
    <w:r w:rsidRPr="00154E87">
      <w:rPr>
        <w:rFonts w:asciiTheme="minorHAnsi" w:hAnsiTheme="minorHAnsi" w:cs="Arial"/>
        <w:sz w:val="18"/>
      </w:rPr>
      <w:t>-4025</w:t>
    </w:r>
  </w:p>
  <w:p w14:paraId="09710955" w14:textId="77777777" w:rsidR="00E6526B" w:rsidRPr="00154E87" w:rsidRDefault="00E6526B" w:rsidP="002923B8">
    <w:pPr>
      <w:pStyle w:val="Footer"/>
      <w:tabs>
        <w:tab w:val="left" w:pos="4320"/>
      </w:tabs>
      <w:jc w:val="center"/>
      <w:rPr>
        <w:rFonts w:asciiTheme="minorHAnsi" w:hAnsiTheme="minorHAnsi" w:cs="Arial"/>
        <w:sz w:val="18"/>
      </w:rPr>
    </w:pPr>
    <w:r>
      <w:rPr>
        <w:rFonts w:asciiTheme="minorHAnsi" w:hAnsiTheme="minorHAnsi" w:cs="Arial"/>
        <w:b/>
        <w:sz w:val="18"/>
      </w:rPr>
      <w:t>Phone</w:t>
    </w:r>
    <w:r>
      <w:rPr>
        <w:rFonts w:asciiTheme="minorHAnsi" w:hAnsiTheme="minorHAnsi" w:cs="Arial"/>
        <w:sz w:val="18"/>
      </w:rPr>
      <w:t xml:space="preserve"> (206) 684-8806      </w:t>
    </w:r>
    <w:r w:rsidRPr="00154E87">
      <w:rPr>
        <w:rFonts w:asciiTheme="minorHAnsi" w:hAnsiTheme="minorHAnsi" w:cs="Arial"/>
        <w:b/>
        <w:sz w:val="18"/>
      </w:rPr>
      <w:t>Fax</w:t>
    </w:r>
    <w:r>
      <w:rPr>
        <w:rFonts w:asciiTheme="minorHAnsi" w:hAnsiTheme="minorHAnsi" w:cs="Arial"/>
        <w:sz w:val="18"/>
      </w:rPr>
      <w:t xml:space="preserve"> (206) 684-8587      </w:t>
    </w:r>
    <w:r w:rsidRPr="00154E87">
      <w:rPr>
        <w:rFonts w:asciiTheme="minorHAnsi" w:hAnsiTheme="minorHAnsi" w:cs="Arial"/>
        <w:b/>
        <w:sz w:val="18"/>
      </w:rPr>
      <w:t>TTY</w:t>
    </w:r>
    <w:r w:rsidRPr="00154E87">
      <w:rPr>
        <w:rFonts w:asciiTheme="minorHAnsi" w:hAnsiTheme="minorHAnsi" w:cs="Arial"/>
        <w:sz w:val="18"/>
      </w:rPr>
      <w:t xml:space="preserve"> </w:t>
    </w:r>
    <w:r>
      <w:rPr>
        <w:rFonts w:asciiTheme="minorHAnsi" w:hAnsiTheme="minorHAnsi" w:cs="Arial"/>
        <w:sz w:val="18"/>
      </w:rPr>
      <w:t>711</w:t>
    </w:r>
  </w:p>
  <w:p w14:paraId="507FC5D7" w14:textId="77777777" w:rsidR="00E6526B" w:rsidRPr="002923B8" w:rsidRDefault="00E6526B" w:rsidP="002923B8">
    <w:pPr>
      <w:pStyle w:val="Footer"/>
      <w:jc w:val="center"/>
      <w:rPr>
        <w:rFonts w:asciiTheme="minorHAnsi" w:hAnsiTheme="minorHAnsi" w:cs="Arial"/>
        <w:sz w:val="18"/>
      </w:rPr>
    </w:pPr>
    <w:r w:rsidRPr="00154E87">
      <w:rPr>
        <w:rFonts w:asciiTheme="minorHAnsi" w:hAnsiTheme="minorHAnsi" w:cs="Arial"/>
        <w:b/>
        <w:sz w:val="18"/>
      </w:rPr>
      <w:t>Email</w:t>
    </w:r>
    <w:r w:rsidRPr="00154E87">
      <w:rPr>
        <w:rFonts w:asciiTheme="minorHAnsi" w:hAnsiTheme="minorHAnsi" w:cs="Arial"/>
        <w:sz w:val="18"/>
      </w:rPr>
      <w:t xml:space="preserve"> </w:t>
    </w:r>
    <w:r>
      <w:rPr>
        <w:rFonts w:asciiTheme="minorHAnsi" w:hAnsiTheme="minorHAnsi" w:cs="Arial"/>
        <w:sz w:val="18"/>
      </w:rPr>
      <w:t>teresa.mosqueda</w:t>
    </w:r>
    <w:r w:rsidRPr="00154E87">
      <w:rPr>
        <w:rFonts w:asciiTheme="minorHAnsi" w:hAnsiTheme="minorHAnsi" w:cs="Arial"/>
        <w:sz w:val="18"/>
      </w:rPr>
      <w:t>@seattle.gov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31DE" w14:textId="77777777" w:rsidR="00202A9E" w:rsidRDefault="00202A9E">
      <w:r>
        <w:separator/>
      </w:r>
    </w:p>
  </w:footnote>
  <w:footnote w:type="continuationSeparator" w:id="0">
    <w:p w14:paraId="0048FC95" w14:textId="77777777" w:rsidR="00202A9E" w:rsidRDefault="00202A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EDD0" w14:textId="5B0E7DCD" w:rsidR="00E6526B" w:rsidRDefault="00E6526B">
    <w:pPr>
      <w:pStyle w:val="Header"/>
    </w:pPr>
    <w:r>
      <w:t>McKinsey/Chamber report and EHT</w:t>
    </w:r>
  </w:p>
  <w:p w14:paraId="55FCF9F6" w14:textId="1DCC5E2C" w:rsidR="00E6526B" w:rsidRDefault="00E6526B">
    <w:pPr>
      <w:pStyle w:val="Header"/>
    </w:pPr>
    <w:r>
      <w:t>May 10, 2018; Updated May 12, 2018</w:t>
    </w:r>
  </w:p>
  <w:p w14:paraId="089C33AF" w14:textId="7D98F847" w:rsidR="00E6526B" w:rsidRDefault="00E6526B">
    <w:pPr>
      <w:pStyle w:val="Header"/>
      <w:rPr>
        <w:b/>
        <w:bCs/>
      </w:rPr>
    </w:pPr>
    <w:r>
      <w:t xml:space="preserve">Page </w:t>
    </w:r>
    <w:r>
      <w:rPr>
        <w:b/>
        <w:bCs/>
      </w:rPr>
      <w:fldChar w:fldCharType="begin"/>
    </w:r>
    <w:r>
      <w:rPr>
        <w:b/>
        <w:bCs/>
      </w:rPr>
      <w:instrText xml:space="preserve"> PAGE  \* Arabic  \* MERGEFORMAT </w:instrText>
    </w:r>
    <w:r>
      <w:rPr>
        <w:b/>
        <w:bCs/>
      </w:rPr>
      <w:fldChar w:fldCharType="separate"/>
    </w:r>
    <w:r w:rsidR="00F51BA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51BAF">
      <w:rPr>
        <w:b/>
        <w:bCs/>
        <w:noProof/>
      </w:rPr>
      <w:t>6</w:t>
    </w:r>
    <w:r>
      <w:rPr>
        <w:b/>
        <w:bCs/>
      </w:rPr>
      <w:fldChar w:fldCharType="end"/>
    </w:r>
  </w:p>
  <w:p w14:paraId="6AAE021D" w14:textId="77777777" w:rsidR="00E6526B" w:rsidRDefault="00E652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A318" w14:textId="77777777" w:rsidR="00E6526B" w:rsidRDefault="00E6526B">
    <w:pPr>
      <w:pStyle w:val="Header"/>
    </w:pPr>
    <w:r>
      <w:rPr>
        <w:noProof/>
      </w:rPr>
      <w:drawing>
        <wp:anchor distT="0" distB="0" distL="114300" distR="114300" simplePos="0" relativeHeight="251659264" behindDoc="1" locked="0" layoutInCell="1" allowOverlap="1" wp14:anchorId="41F0CAFC" wp14:editId="4DA8102B">
          <wp:simplePos x="0" y="0"/>
          <wp:positionH relativeFrom="page">
            <wp:posOffset>591982</wp:posOffset>
          </wp:positionH>
          <wp:positionV relativeFrom="paragraph">
            <wp:posOffset>-201930</wp:posOffset>
          </wp:positionV>
          <wp:extent cx="7169859" cy="1333387"/>
          <wp:effectExtent l="0" t="0" r="0" b="635"/>
          <wp:wrapTight wrapText="bothSides">
            <wp:wrapPolygon edited="0">
              <wp:start x="0" y="0"/>
              <wp:lineTo x="0" y="21302"/>
              <wp:lineTo x="21522" y="21302"/>
              <wp:lineTo x="21522" y="0"/>
              <wp:lineTo x="0" y="0"/>
            </wp:wrapPolygon>
          </wp:wrapTight>
          <wp:docPr id="2" name="Picture 2" descr="J:\Joseph\Communications\Design Assets\Letterheads\2017-Councilmember-Teresa-Mosqu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oseph\Communications\Design Assets\Letterheads\2017-Councilmember-Teresa-Mosque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859" cy="13333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0BB5"/>
    <w:multiLevelType w:val="hybridMultilevel"/>
    <w:tmpl w:val="552E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6733"/>
    <w:multiLevelType w:val="hybridMultilevel"/>
    <w:tmpl w:val="95B821B6"/>
    <w:lvl w:ilvl="0" w:tplc="964C53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1F68"/>
    <w:multiLevelType w:val="hybridMultilevel"/>
    <w:tmpl w:val="26FACEE2"/>
    <w:lvl w:ilvl="0" w:tplc="88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2361"/>
    <w:multiLevelType w:val="hybridMultilevel"/>
    <w:tmpl w:val="5C825B8E"/>
    <w:lvl w:ilvl="0" w:tplc="8A2AD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3640"/>
    <w:multiLevelType w:val="hybridMultilevel"/>
    <w:tmpl w:val="ECF0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51034"/>
    <w:multiLevelType w:val="multilevel"/>
    <w:tmpl w:val="7B1A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97F57"/>
    <w:multiLevelType w:val="hybridMultilevel"/>
    <w:tmpl w:val="5BE28862"/>
    <w:lvl w:ilvl="0" w:tplc="3B26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36A7A"/>
    <w:multiLevelType w:val="hybridMultilevel"/>
    <w:tmpl w:val="4AF29DC0"/>
    <w:lvl w:ilvl="0" w:tplc="F37A3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B7A8A"/>
    <w:multiLevelType w:val="hybridMultilevel"/>
    <w:tmpl w:val="ADD669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A3D3D"/>
    <w:multiLevelType w:val="hybridMultilevel"/>
    <w:tmpl w:val="CC50A6BA"/>
    <w:lvl w:ilvl="0" w:tplc="A544C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33C35"/>
    <w:multiLevelType w:val="hybridMultilevel"/>
    <w:tmpl w:val="D0EEB0E2"/>
    <w:lvl w:ilvl="0" w:tplc="F64E8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011D7"/>
    <w:multiLevelType w:val="hybridMultilevel"/>
    <w:tmpl w:val="165E9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574DD"/>
    <w:multiLevelType w:val="hybridMultilevel"/>
    <w:tmpl w:val="F1F60A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A1DC5"/>
    <w:multiLevelType w:val="hybridMultilevel"/>
    <w:tmpl w:val="8926E0E6"/>
    <w:lvl w:ilvl="0" w:tplc="78667DA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97AB4"/>
    <w:multiLevelType w:val="hybridMultilevel"/>
    <w:tmpl w:val="64349E64"/>
    <w:lvl w:ilvl="0" w:tplc="5E3E0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0385B"/>
    <w:multiLevelType w:val="hybridMultilevel"/>
    <w:tmpl w:val="11E49C3C"/>
    <w:lvl w:ilvl="0" w:tplc="A4DC1AB6">
      <w:start w:val="4"/>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4"/>
  </w:num>
  <w:num w:numId="2">
    <w:abstractNumId w:val="15"/>
  </w:num>
  <w:num w:numId="3">
    <w:abstractNumId w:val="3"/>
  </w:num>
  <w:num w:numId="4">
    <w:abstractNumId w:val="4"/>
  </w:num>
  <w:num w:numId="5">
    <w:abstractNumId w:val="11"/>
  </w:num>
  <w:num w:numId="6">
    <w:abstractNumId w:val="0"/>
  </w:num>
  <w:num w:numId="7">
    <w:abstractNumId w:val="13"/>
  </w:num>
  <w:num w:numId="8">
    <w:abstractNumId w:val="9"/>
  </w:num>
  <w:num w:numId="9">
    <w:abstractNumId w:val="10"/>
  </w:num>
  <w:num w:numId="10">
    <w:abstractNumId w:val="6"/>
  </w:num>
  <w:num w:numId="11">
    <w:abstractNumId w:val="7"/>
  </w:num>
  <w:num w:numId="12">
    <w:abstractNumId w:val="2"/>
  </w:num>
  <w:num w:numId="13">
    <w:abstractNumId w:val="12"/>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1"/>
    <w:rsid w:val="00014CFF"/>
    <w:rsid w:val="00046677"/>
    <w:rsid w:val="00056A0C"/>
    <w:rsid w:val="000B6034"/>
    <w:rsid w:val="000C5EAD"/>
    <w:rsid w:val="00123956"/>
    <w:rsid w:val="0019719B"/>
    <w:rsid w:val="001C0299"/>
    <w:rsid w:val="001C6919"/>
    <w:rsid w:val="00202A9E"/>
    <w:rsid w:val="002314DB"/>
    <w:rsid w:val="00250F91"/>
    <w:rsid w:val="002627D6"/>
    <w:rsid w:val="002865A3"/>
    <w:rsid w:val="00292391"/>
    <w:rsid w:val="002923B8"/>
    <w:rsid w:val="002C5885"/>
    <w:rsid w:val="003074CC"/>
    <w:rsid w:val="00347163"/>
    <w:rsid w:val="003C2464"/>
    <w:rsid w:val="003E28D1"/>
    <w:rsid w:val="003E488D"/>
    <w:rsid w:val="004571BE"/>
    <w:rsid w:val="00463359"/>
    <w:rsid w:val="004B5753"/>
    <w:rsid w:val="004E37A8"/>
    <w:rsid w:val="00502CDF"/>
    <w:rsid w:val="00505A0D"/>
    <w:rsid w:val="005674C8"/>
    <w:rsid w:val="005D62B6"/>
    <w:rsid w:val="0060302F"/>
    <w:rsid w:val="006064F7"/>
    <w:rsid w:val="00615BBC"/>
    <w:rsid w:val="0062362F"/>
    <w:rsid w:val="006550E8"/>
    <w:rsid w:val="006933DC"/>
    <w:rsid w:val="006E3458"/>
    <w:rsid w:val="007026BD"/>
    <w:rsid w:val="00720542"/>
    <w:rsid w:val="0073462F"/>
    <w:rsid w:val="00752F31"/>
    <w:rsid w:val="007A6AE0"/>
    <w:rsid w:val="007C052E"/>
    <w:rsid w:val="007F3D07"/>
    <w:rsid w:val="00803BB1"/>
    <w:rsid w:val="0081339D"/>
    <w:rsid w:val="00880E2B"/>
    <w:rsid w:val="00883941"/>
    <w:rsid w:val="00946A8F"/>
    <w:rsid w:val="00964CD1"/>
    <w:rsid w:val="009B67B8"/>
    <w:rsid w:val="00A04FCD"/>
    <w:rsid w:val="00A64FAE"/>
    <w:rsid w:val="00A723A9"/>
    <w:rsid w:val="00AA4BDE"/>
    <w:rsid w:val="00AA6564"/>
    <w:rsid w:val="00AF4A33"/>
    <w:rsid w:val="00B1671F"/>
    <w:rsid w:val="00B468C8"/>
    <w:rsid w:val="00B56BE3"/>
    <w:rsid w:val="00BB47DA"/>
    <w:rsid w:val="00C063AB"/>
    <w:rsid w:val="00C450A6"/>
    <w:rsid w:val="00C56D03"/>
    <w:rsid w:val="00CD2008"/>
    <w:rsid w:val="00D01384"/>
    <w:rsid w:val="00D60FCE"/>
    <w:rsid w:val="00DD5760"/>
    <w:rsid w:val="00E13EA6"/>
    <w:rsid w:val="00E63EC5"/>
    <w:rsid w:val="00E6526B"/>
    <w:rsid w:val="00E87A91"/>
    <w:rsid w:val="00E923FC"/>
    <w:rsid w:val="00EA2A48"/>
    <w:rsid w:val="00EA2A55"/>
    <w:rsid w:val="00EA4842"/>
    <w:rsid w:val="00ED6824"/>
    <w:rsid w:val="00EE7437"/>
    <w:rsid w:val="00F3369D"/>
    <w:rsid w:val="00F337C3"/>
    <w:rsid w:val="00F411DE"/>
    <w:rsid w:val="00F464E1"/>
    <w:rsid w:val="00F51BAF"/>
    <w:rsid w:val="00F55296"/>
    <w:rsid w:val="00F57F99"/>
    <w:rsid w:val="00F757BD"/>
    <w:rsid w:val="00FB4E03"/>
    <w:rsid w:val="00FE0F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1D01D"/>
  <w15:docId w15:val="{6BB93E42-EA47-4F6E-B696-642FE7A7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50E8"/>
    <w:rPr>
      <w:rFonts w:ascii="Tahoma" w:hAnsi="Tahoma" w:cs="Tahoma"/>
      <w:sz w:val="16"/>
      <w:szCs w:val="16"/>
    </w:rPr>
  </w:style>
  <w:style w:type="character" w:customStyle="1" w:styleId="BalloonTextChar">
    <w:name w:val="Balloon Text Char"/>
    <w:basedOn w:val="DefaultParagraphFont"/>
    <w:link w:val="BalloonText"/>
    <w:uiPriority w:val="99"/>
    <w:semiHidden/>
    <w:rsid w:val="006550E8"/>
    <w:rPr>
      <w:rFonts w:ascii="Tahoma" w:hAnsi="Tahoma" w:cs="Tahoma"/>
      <w:sz w:val="16"/>
      <w:szCs w:val="16"/>
    </w:rPr>
  </w:style>
  <w:style w:type="table" w:styleId="TableGrid">
    <w:name w:val="Table Grid"/>
    <w:basedOn w:val="TableNormal"/>
    <w:uiPriority w:val="59"/>
    <w:rsid w:val="00603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0302F"/>
  </w:style>
  <w:style w:type="paragraph" w:styleId="ListParagraph">
    <w:name w:val="List Paragraph"/>
    <w:basedOn w:val="Normal"/>
    <w:uiPriority w:val="34"/>
    <w:qFormat/>
    <w:rsid w:val="00502CDF"/>
    <w:pPr>
      <w:ind w:left="720"/>
      <w:contextualSpacing/>
    </w:pPr>
  </w:style>
  <w:style w:type="paragraph" w:styleId="NormalWeb">
    <w:name w:val="Normal (Web)"/>
    <w:basedOn w:val="Normal"/>
    <w:uiPriority w:val="99"/>
    <w:semiHidden/>
    <w:unhideWhenUsed/>
    <w:rsid w:val="00E6526B"/>
    <w:pPr>
      <w:spacing w:before="100" w:beforeAutospacing="1" w:after="100" w:afterAutospacing="1"/>
    </w:pPr>
    <w:rPr>
      <w:sz w:val="24"/>
      <w:szCs w:val="24"/>
    </w:rPr>
  </w:style>
  <w:style w:type="character" w:customStyle="1" w:styleId="apple-tab-span">
    <w:name w:val="apple-tab-span"/>
    <w:basedOn w:val="DefaultParagraphFont"/>
    <w:rsid w:val="00E6526B"/>
  </w:style>
  <w:style w:type="character" w:styleId="PageNumber">
    <w:name w:val="page number"/>
    <w:basedOn w:val="DefaultParagraphFont"/>
    <w:uiPriority w:val="99"/>
    <w:semiHidden/>
    <w:unhideWhenUsed/>
    <w:rsid w:val="00F5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Maddux, Michael</dc:creator>
  <cp:lastModifiedBy>April Sims</cp:lastModifiedBy>
  <cp:revision>2</cp:revision>
  <cp:lastPrinted>2018-05-11T16:42:00Z</cp:lastPrinted>
  <dcterms:created xsi:type="dcterms:W3CDTF">2018-05-12T19:04:00Z</dcterms:created>
  <dcterms:modified xsi:type="dcterms:W3CDTF">2018-05-12T19:04:00Z</dcterms:modified>
</cp:coreProperties>
</file>